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الإنسان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وباختصار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كواكبه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المخلوقات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أخلاقية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واستمراريته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وزملائه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وأصدقائه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ومجتمعه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المخلوقات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الإنسان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والتكافل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متصالحا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الضعيفة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والفقيرة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فغالبية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يرتكبون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عاطلون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بالنسبة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للفرد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والنزاهة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المجتمع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والنهوض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تعريف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المبذول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وبناءا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المبذولة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بناءل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الذهني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ويمارسه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البدني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ويمارسه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العم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فوائد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تأتي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مصدر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الرزق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ينمي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الخبرة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يكتسبها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وينميها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يكتسبها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بممارسة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الوصول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الكفاءة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فتكرار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تطوير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مجالات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الحياة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يقوي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وينمي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اندماجي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يعزز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الإنسان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فوائد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النفسية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انطوائي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فوائد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الإسلام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وقرآنه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والنزاهة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والإكتفاء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والتخاذل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الناجح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الإنسان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تقدير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المهارة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الضمان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الوظيفي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التعويضات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والحوافز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والمكافآت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المرن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للعامل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التدرج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الوظيفي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والبعيد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العوامل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المؤثرة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توافر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فرص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اغتنام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امتيازات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أحيانا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الزيادة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بالضياع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الوظائف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الاجتماعي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الثقافي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وأولوية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الاقتصادي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بوتقة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فقدان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فرصة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الحصول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يجريها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المحتملين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وضوح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عدم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الاستعداد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التحضير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ودراستها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الاستهتار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بالمقابلة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والمحاورين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الفوضوية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والاستهتار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الفكر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المنظم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وضعف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أفكاره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النفسية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والضغط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لمهارته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حقوق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العمال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الكادحة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رزقه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وأسرهم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الأقدمية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والكفاءة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المدفوعة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والمكافآت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تلتزم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التعويضات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التقاعدي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بحقوقهم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حقوق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أصحاب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لأرباب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بتأديب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تحذير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رتبتهم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التخاذل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واجبات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بالتعليمات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المرؤوسين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كرامتهم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نزيها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وإتقان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المرؤوسين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والتسلسل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بالضرب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العملاء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وفوائده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بحقوقهم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وواجباتهم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والواجبات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