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موضوع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وهدفها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بسهولة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نتواجد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الالكتروني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نتبعها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كبديل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أسلوبا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جديدا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ملحوظ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الآونة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وتمنحه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والشخصية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وبسهولة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متوفرا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والجامعات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وواقعي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بسهولة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موضوع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distance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كالمعتاد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وانتشرت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التكنولوجي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الذ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والجامعات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يوف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ويعطينا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يقطنون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أماكن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نائية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يتعذ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جي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كالمرضى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مؤقتة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فجاءت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ووجدت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المشاكل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طرق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المتزامن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المتزامن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المتزامن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فيتابع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الفيديو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تزامن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</w:p>
    <w:p w:rsidR="00000000" w:rsidDel="00000000" w:rsidP="00000000" w:rsidRDefault="00000000" w:rsidRPr="00000000" w14:paraId="0000000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تزامن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وبهذه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b w:val="1"/>
          <w:rtl w:val="1"/>
        </w:rPr>
        <w:t xml:space="preserve">فوائد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يتميز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يوفر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يختصر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النائية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والرجوع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الفيديو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يتيح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والدراسة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يفسح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بحرية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b w:val="1"/>
          <w:rtl w:val="1"/>
        </w:rPr>
        <w:t xml:space="preserve">عيوب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أحيانا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فوائده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الفيديوهات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ينشرها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إهمال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والتسويف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وتأجيلها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الفراغ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الإهمال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والتسويف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التراجع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الحافز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يوفره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المناقشة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الاستيعاب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الواجبات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يفرضها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مشاكل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الناجحة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السريع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دقيق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عناصر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والسماعات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تأمين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بالإنترنت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والأهم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b w:val="1"/>
          <w:rtl w:val="1"/>
        </w:rPr>
        <w:t xml:space="preserve">أهداف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أولئك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نركوا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مبكر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وتقدموا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فاتتهم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لخريجي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مهاراتهم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أدائهم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لائقة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عوامل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نجاح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الحافز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إتقان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والهواتف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النظرية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تقريبا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الراغبين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منعتهم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والفلسفة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الكيميائية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b w:val="1"/>
          <w:rtl w:val="1"/>
        </w:rPr>
        <w:t xml:space="preserve">أمثلة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واقعية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طرحت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الاختلاط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والجامعات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التطبيقات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توكلنا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توكلنا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تبويب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توكلنا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إرسال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وانتظار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تفعيل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مايكروسوفت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أيقونة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ونتابع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أتممنا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أسلوبا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حديثا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وانتشاره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وتاريخيا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تدرج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الوسائل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الإذاعية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التلفاز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الراديو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المراسلة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1982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المراسلة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واتبعتها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500 </w:t>
      </w:r>
      <w:r w:rsidDel="00000000" w:rsidR="00000000" w:rsidRPr="00000000">
        <w:rPr>
          <w:rtl w:val="1"/>
        </w:rPr>
        <w:t xml:space="preserve">جامعة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الانترنت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الالكترونية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الهواتف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التكنولوجيا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ككل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الآونة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كلي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b w:val="1"/>
          <w:rtl w:val="1"/>
        </w:rPr>
        <w:t xml:space="preserve">موضوع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قصير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وهدفها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بسهولة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نتواجد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b w:val="1"/>
          <w:rtl w:val="1"/>
        </w:rPr>
        <w:t xml:space="preserve">موضوع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بقديمة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ساعدت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وسهولة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وتعطينا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مجالا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التخرج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والجامعات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الانتباه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تخفيف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الحافز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بمواعيد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والاجتهاد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إهمال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ومحاولة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غزت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