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الاولى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جاهز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doc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pdf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المتطورة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وزنها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250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الاولى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لعبت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وباعتبارها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التوحيدية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1932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ومذهلا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الازدهار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السقوط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الاولى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الإصلاحية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لمؤسسها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عاتقه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1744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واتساعها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وحروبها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سيطرت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وصولا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1818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نتناوله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الدعوة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الإصلاحية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الإمبراطورية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أصغر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تدريجيا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واستمرت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والإسلامية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للاضطهاد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b w:val="1"/>
          <w:rtl w:val="1"/>
        </w:rPr>
        <w:t xml:space="preserve">تأسيس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استقبله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وأعجب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بدعوته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تأسست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1744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وتميزت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بغزو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بحماسة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تضمت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المنورة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يتوخوا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بإسقاط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إمارة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الدرعية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تشكلت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1744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وخارجها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وانضمت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حاربوا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ليرتدوا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كعاصمة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المدفعية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1818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نجد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والنفوذ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فغالبية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المجاورة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انشقت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الإصلاحية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ممانعة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ومعارضة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للدعوة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يتبعها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العارض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إمارة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والعيينة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وضرما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ومنفوحة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وحكامها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17 </w:t>
      </w:r>
      <w:r w:rsidDel="00000000" w:rsidR="00000000" w:rsidRPr="00000000">
        <w:rPr>
          <w:rtl w:val="1"/>
        </w:rPr>
        <w:t xml:space="preserve">موقعة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الميثاق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وشارك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قبيلته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وجيشه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الظفير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1773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انضمت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1746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وانتهى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1750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الوشم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وسدير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والخرج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الوشم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1755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والقويعية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قاومت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إدخالها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ثرمداء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وأشيقر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والفرعية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سدير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المقاومة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استطاعت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المطاف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الخرج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الدليمي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المقاومة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وشهدت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الاتفاقات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مضطربة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لسلطة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القصيم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أعلنت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الدريبي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ولاءها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1768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1775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حجيلان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عنيزة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خضوعها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1768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1776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وتوجهوا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واستولوا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سدير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المطاف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1788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الجوف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المقاومة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حجيلان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1792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وسكاكا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1985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b w:val="1"/>
          <w:rtl w:val="1"/>
        </w:rPr>
        <w:t xml:space="preserve">التوسع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الإحساء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نجد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العداوة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ومضمونها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بتحريض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بدأوا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1759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بالتحالف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دجين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وسرعان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الإحساء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1765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وإيقاف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1774،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وبدأت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بالانقلاب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قادت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المعاكسة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عامي</w:t>
      </w:r>
      <w:r w:rsidDel="00000000" w:rsidR="00000000" w:rsidRPr="00000000">
        <w:rPr>
          <w:rtl w:val="1"/>
        </w:rPr>
        <w:t xml:space="preserve"> 1784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1785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1789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واستقرت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الإحساء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1796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إقليم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الحجاز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عامي</w:t>
      </w:r>
      <w:r w:rsidDel="00000000" w:rsidR="00000000" w:rsidRPr="00000000">
        <w:rPr>
          <w:rtl w:val="1"/>
        </w:rPr>
        <w:t xml:space="preserve"> 1795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1786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غزو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حرته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1798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المرتزقة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وأيضا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بيشة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1802،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المضايفي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بلملمة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هجمات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تكررت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1805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الخضوع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ليدخلوا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b w:val="1"/>
          <w:rtl w:val="1"/>
        </w:rPr>
        <w:t xml:space="preserve">التوسع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مناطق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الخليج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الكويت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الكويت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معاكسة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للهيمنة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قطر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1792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واستطاعت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البحرين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وبالنتيجة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1810</w:t>
      </w:r>
      <w:r w:rsidDel="00000000" w:rsidR="00000000" w:rsidRPr="00000000">
        <w:rPr>
          <w:rtl w:val="1"/>
        </w:rPr>
        <w:t xml:space="preserve">م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b w:val="1"/>
          <w:rtl w:val="1"/>
        </w:rPr>
        <w:t xml:space="preserve">التنظيم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السياسي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والإداري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والعسكري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المتعاقبة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التنظيم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نظام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الحكم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المحكومة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والتوسع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اكتسب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الإصلاحية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لتعاليم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نظام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ولاية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العهد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وتنصيب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حكام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الأقاليم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لمعاونين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يعينونه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الشؤون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إلزامي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قاطع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تحضير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الأقاليم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الشيوخ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القبائل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وغالبا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إلزامي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المتطوعين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للواجبات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أئمة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الأولى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عامي</w:t>
      </w:r>
      <w:r w:rsidDel="00000000" w:rsidR="00000000" w:rsidRPr="00000000">
        <w:rPr>
          <w:rtl w:val="1"/>
        </w:rPr>
        <w:t xml:space="preserve"> 1744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1765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عامي</w:t>
      </w:r>
      <w:r w:rsidDel="00000000" w:rsidR="00000000" w:rsidRPr="00000000">
        <w:rPr>
          <w:rtl w:val="1"/>
        </w:rPr>
        <w:t xml:space="preserve"> 1765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1803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عامي</w:t>
      </w:r>
      <w:r w:rsidDel="00000000" w:rsidR="00000000" w:rsidRPr="00000000">
        <w:rPr>
          <w:rtl w:val="1"/>
        </w:rPr>
        <w:t xml:space="preserve"> 1803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1814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عامي</w:t>
      </w:r>
      <w:r w:rsidDel="00000000" w:rsidR="00000000" w:rsidRPr="00000000">
        <w:rPr>
          <w:rtl w:val="1"/>
        </w:rPr>
        <w:t xml:space="preserve"> 1814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1818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القضاء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الإصلاحية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بالشريعة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المستندة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اقتصاد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الأولى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المحدودة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الزكاة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والغنائم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والهندية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b w:val="1"/>
          <w:rtl w:val="1"/>
        </w:rPr>
        <w:t xml:space="preserve">نهاية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وسقوط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بحلول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الغزو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استكشافية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بالمدفعية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ونجحت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1818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بتدمير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بالبنادق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الميدانية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وجعلتها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واقتلاع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وسرعان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الاولى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وتوسعت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وحكمها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إنهاؤها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وإسقاطها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العثمانيين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