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والارتفاعات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لأشكال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وتطبيقاته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الأشكال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وخصائصها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والارتفاعات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بدراستها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والارتفاعات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الرياضيين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واستنتاجات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واستخداماتها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وحساباتها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أضلاعها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وزواياها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والارتفاعات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والارتفاعات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الارتفاعات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المصطلحين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الرياضيين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والارتفاعات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وخصائصها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نبدؤها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باكتساب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ونظرياتها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الثابتة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مختصر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بوظائف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وتطبيقها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الحسابات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ضخمة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متنوعة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وزوايا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المفقودة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ستوي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ثنائية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خصائص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ونظريات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ثابتة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هندسة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المستوية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المضلعات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زوايا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زواياها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وجوانبها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يساوي</w:t>
      </w:r>
      <w:r w:rsidDel="00000000" w:rsidR="00000000" w:rsidRPr="00000000">
        <w:rPr>
          <w:rtl w:val="1"/>
        </w:rPr>
        <w:t xml:space="preserve"> 180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زوايا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متطابقة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لجوانب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مساوي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فيثاغورس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مساحة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وقاعدته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يساوي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مساحته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لمثلثين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متطابقة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ضلعان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متناسبين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والزاوية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متشابهة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متشابهين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القطعة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القطعة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حصولنا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المتساوية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المقسومة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خصائص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يلتقون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Centroid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للمثلث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المتوسطات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مكونة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b w:val="1"/>
          <w:rtl w:val="1"/>
        </w:rPr>
        <w:t xml:space="preserve">نقطة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التقاء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الوسيطة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ومركز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Centroid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العمودي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ثلثي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ونظريات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تمنحها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والنظريات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نظرية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مركز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</w:t>
      </w:r>
      <w:r w:rsidDel="00000000" w:rsidR="00000000" w:rsidRPr="00000000">
        <w:rPr>
          <w:rtl w:val="1"/>
        </w:rPr>
        <w:t xml:space="preserve"> ​​</w:t>
      </w:r>
      <w:r w:rsidDel="00000000" w:rsidR="00000000" w:rsidRPr="00000000">
        <w:rPr>
          <w:rtl w:val="1"/>
        </w:rPr>
        <w:t xml:space="preserve">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⅓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وبالمقابل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⅔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ثلثي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الممتدة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نظرية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الوسيط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أبولونيوس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هندسية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</w:t>
      </w:r>
      <w:r w:rsidDel="00000000" w:rsidR="00000000" w:rsidRPr="00000000">
        <w:rPr>
          <w:rtl w:val="1"/>
        </w:rPr>
        <w:t xml:space="preserve"> ​​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أطوال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أضلاعه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يساوي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ومرتين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b w:val="1"/>
          <w:rtl w:val="1"/>
        </w:rPr>
        <w:t xml:space="preserve">مثال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تطبيقي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نظرية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أضلاعه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أوجد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الطول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المصطلحات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 = 10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= 7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 = 6، </w:t>
      </w:r>
      <w:r w:rsidDel="00000000" w:rsidR="00000000" w:rsidRPr="00000000">
        <w:rPr>
          <w:rtl w:val="1"/>
        </w:rPr>
        <w:t xml:space="preserve">ونصف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=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÷2 = 10÷2 = 5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أبولونيوس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استبدال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²+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² = 2(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²+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²)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bidi w:val="1"/>
        <w:ind w:left="720" w:hanging="36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6²+7² = 2(5²+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²)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bidi w:val="1"/>
        <w:ind w:left="720" w:hanging="36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49+36 = 2(25+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²)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bidi w:val="1"/>
        <w:ind w:left="720" w:hanging="36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49+36 = (2×25)+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²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bidi w:val="1"/>
        <w:ind w:left="720" w:hanging="36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49+36 = 50+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²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² = (36+49) - 50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² = 85 - 50 = 35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= </w:t>
      </w:r>
      <w:r w:rsidDel="00000000" w:rsidR="00000000" w:rsidRPr="00000000">
        <w:rPr>
          <w:b w:val="1"/>
          <w:rtl w:val="1"/>
        </w:rPr>
        <w:t xml:space="preserve">جذر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² = </w:t>
      </w:r>
      <w:r w:rsidDel="00000000" w:rsidR="00000000" w:rsidRPr="00000000">
        <w:rPr>
          <w:b w:val="1"/>
          <w:rtl w:val="1"/>
        </w:rPr>
        <w:t xml:space="preserve">جذر</w:t>
      </w:r>
      <w:r w:rsidDel="00000000" w:rsidR="00000000" w:rsidRPr="00000000">
        <w:rPr>
          <w:b w:val="1"/>
          <w:rtl w:val="1"/>
        </w:rPr>
        <w:t xml:space="preserve"> 35 = 4.183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كيفية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ايجاد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​​</w:t>
      </w:r>
      <w:r w:rsidDel="00000000" w:rsidR="00000000" w:rsidRPr="00000000">
        <w:rPr>
          <w:b w:val="1"/>
          <w:rtl w:val="1"/>
        </w:rPr>
        <w:t xml:space="preserve">المثلث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الفرجار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تقريبا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ABC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وأردنا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المقاطع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المرفقة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فسنقوم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نضبط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نضع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قوس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tl w:val="1"/>
        </w:rPr>
        <w:t xml:space="preserve">.</w:t>
        <w:tab/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البوصلة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أقواسا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تتقاطع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تتقاطع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EF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للزاوية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للزاوية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CS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BC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وننشئ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BC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سنربطها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ببساطة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ارتفاع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الارتفاع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متعامدة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BC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BC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خصائص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ارتفاع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تختلف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الارتفاعات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الخصائص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الإثنين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الارتفاعات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ارتفاعات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تلتقي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الارتفاعات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الارتفاع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الفرق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متوسط</w:t>
      </w:r>
      <w:r w:rsidDel="00000000" w:rsidR="00000000" w:rsidRPr="00000000">
        <w:rPr>
          <w:b w:val="1"/>
          <w:rtl w:val="1"/>
        </w:rPr>
        <w:t xml:space="preserve"> ​​</w:t>
      </w:r>
      <w:r w:rsidDel="00000000" w:rsidR="00000000" w:rsidRPr="00000000">
        <w:rPr>
          <w:b w:val="1"/>
          <w:rtl w:val="1"/>
        </w:rPr>
        <w:t xml:space="preserve">وارتفاع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المصطلحين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متشابهان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المتشابهة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جوهري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ويتلخص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الارتفاع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متعامد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وبالرغم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متماثلين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والارتفاعات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المثلث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نتائجه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الخرائط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المدفعية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ونظريات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وتطبيقات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والارتفاعات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