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واحد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جاهز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للطباعة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المحيطة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الظواهر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متكرر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علميا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محض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تعاقب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والنهار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نتكلم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ناتجة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تدفعها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للدوران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المؤثرة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الأمثلة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نجري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الفيزيائي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القوة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ومفهومهما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نتوسع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واحد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نعيشها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اعتيادي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أجسامنا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وخارجها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نعيشه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كالذهاب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للتبضع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أمثلة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نعيشها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مسمى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الأمثلة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الآلاف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تمثيل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لقواعد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والمتمثلة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بتفاصيله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واحد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برزت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انبروا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اللامتناهية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أبرزهم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البريطاني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نيوتن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سنتناولها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نبدؤه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ونتعمق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أبعادها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وأنواعها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وقياسها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يخصها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b w:val="1"/>
          <w:rtl w:val="1"/>
        </w:rPr>
        <w:t xml:space="preserve">تعريف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القوة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فيزيائيا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تفاعله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كائن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لتغيير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بحركته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اتجاهه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الهندسي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تطبيق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وتطبيق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تطبيق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b w:val="1"/>
          <w:rtl w:val="1"/>
        </w:rPr>
        <w:t xml:space="preserve">العلاقة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والحركة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واحد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الناتجة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الأبعاد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فيزيائيا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الساكن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القوة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واحد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الأبعاد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فنقول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إحداثي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مركبة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سيرها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b w:val="1"/>
          <w:rtl w:val="1"/>
        </w:rPr>
        <w:t xml:space="preserve">أبعاد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القوة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تعني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التغيير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التغيير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الحركة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أحادية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الأبعاد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شرحناها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سابقا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الحركة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ثنائية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الأبعاد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الأبعاد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يسلكه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الكائن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ألقينا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ثنائية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الأبعاد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متعرج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الحركة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ثلاثية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الأبعاد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أنحاء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تشبه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ثنائية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الأبعاد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طائرة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بحرية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b w:val="1"/>
          <w:rtl w:val="1"/>
        </w:rPr>
        <w:t xml:space="preserve">أنواع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القوة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وتطبيقاتها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بدءا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تطبيقها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الكواكب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الخارجي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الشمس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فئتين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عريضتين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وهما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قوة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الاتصال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فيزيائيا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والجسم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أمثلتها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المركبات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الاحتكاك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قوة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عدم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الاتصال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فيزيائيا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الفراغات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بالجسم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أمثلتها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الشائعة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الجاذبية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جاذبة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تمارسها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المغناطيسية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الكهروستاتيكية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ماسهما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b w:val="1"/>
          <w:rtl w:val="1"/>
        </w:rPr>
        <w:t xml:space="preserve">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القوة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تقاوم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يعطينا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المستخدمة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بواسطة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للكتلة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والتسارع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مضروبة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التسارع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رياضي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0"/>
        </w:rPr>
        <w:t xml:space="preserve"> = </w:t>
      </w:r>
      <w:r w:rsidDel="00000000" w:rsidR="00000000" w:rsidRPr="00000000">
        <w:rPr>
          <w:rtl w:val="0"/>
        </w:rPr>
        <w:t xml:space="preserve">ma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للوحدات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نيوتن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ورمزها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².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b w:val="1"/>
          <w:rtl w:val="1"/>
        </w:rPr>
        <w:t xml:space="preserve">تعريف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الحركة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التغيير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يمكننا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الكائن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مقارنة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بمثابة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اتجاهها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مقدارها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مستمرة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والبشر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بالذرة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مستمرة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سريعة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b w:val="1"/>
          <w:rtl w:val="1"/>
        </w:rPr>
        <w:t xml:space="preserve">أنواع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الحركة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الناتجة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المميزة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والشائعة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الحركة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الخطية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منحني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الحركة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الدورانية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محوره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الحركة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المتذبذبة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المتأرجحة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تذبذب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وخلفي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التذبذبية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كائن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متوسط</w:t>
      </w:r>
      <w:r w:rsidDel="00000000" w:rsidR="00000000" w:rsidRPr="00000000">
        <w:rPr>
          <w:rtl w:val="1"/>
        </w:rPr>
        <w:t xml:space="preserve"> ​​</w:t>
      </w:r>
      <w:r w:rsidDel="00000000" w:rsidR="00000000" w:rsidRPr="00000000">
        <w:rPr>
          <w:rtl w:val="1"/>
        </w:rPr>
        <w:t xml:space="preserve">موضعه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أمثلتها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الشائعة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الساعة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الحركة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الدورية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تتكرر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الهزاز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والأرجوحة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والموجة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b w:val="1"/>
          <w:rtl w:val="1"/>
        </w:rPr>
        <w:t xml:space="preserve">العوامل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المؤثرة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بالحركة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بالكائن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المتحرك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تسارعه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عكسي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تباطؤ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غاليا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قوتين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نيوتن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الخارجية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تسقطها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وتوقفها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فكلما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وبالتالي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تباطأت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b w:val="1"/>
          <w:rtl w:val="1"/>
        </w:rPr>
        <w:t xml:space="preserve">قوانين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والقوة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لوصف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بالتالي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البريطاني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نيوتن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الجاذبية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وينص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متحرك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الخارجية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لتتوقف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فمثلا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ركلنا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لتوقفها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المقاومة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الاحتكاك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والجاذبية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وينص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زادت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لتسريع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فمثلا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كلما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ركلنا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يشتق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التسارع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0"/>
        </w:rPr>
        <w:t xml:space="preserve"> = </w:t>
      </w:r>
      <w:r w:rsidDel="00000000" w:rsidR="00000000" w:rsidRPr="00000000">
        <w:rPr>
          <w:rtl w:val="0"/>
        </w:rPr>
        <w:t xml:space="preserve">ma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الثالث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وينص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ومعاكس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بالاتجاه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متماثلتان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واحد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يتجزأ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كبشر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كائنات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نطاقه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تحكمها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لأجله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أجريناه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هؤلاء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العباقرة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الواضحة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مفردات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يخصها</w:t>
      </w:r>
      <w:r w:rsidDel="00000000" w:rsidR="00000000" w:rsidRPr="00000000">
        <w:rPr>
          <w:rtl w:val="1"/>
        </w:rPr>
        <w:t xml:space="preserve">، 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واحد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pdf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التطبيقية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تفسر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الظاهرية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يحكمها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المؤثرة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ونظرا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أجريناه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نرفقه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pdf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تحميله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مرجعا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يسهل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الحاجة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واحد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doc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ووصولا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الموجودات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فيزيائية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ومفرداتها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ونظرا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نرفقه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doc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جاهز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للطباعة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تحميله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للإستفادة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الممكنة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وبهذا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الفيزياء</w:t>
      </w:r>
      <w:r w:rsidDel="00000000" w:rsidR="00000000" w:rsidRPr="00000000">
        <w:rPr>
          <w:rtl w:val="0"/>
        </w:rPr>
        <w:t xml:space="preserve">،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خضنا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ظاهرتي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القوة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والحركة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يخصهما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تفاصيل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الفيزياء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إضافة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كملف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pdf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0"/>
        </w:rPr>
        <w:t xml:space="preserve">doc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أقصى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الاستفادة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