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ظواهر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الفيزيائي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لمعرفتهم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المبكرة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والذراع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أسلافنا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وقياسها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ستبدلوا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يحكمها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ووحداته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الأبحاث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أبحاثها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وكسرد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ووحداتها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Metrology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التجريبية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والتكنولوجيا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ومعاييرها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اشتقاق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الكهرومغناطيسية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الإشعاع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للأوزان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والمقاييس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BIPM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المستهلكين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التطبيقي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التصنيع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ملاءمة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ومعايرتها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NIST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Inmetro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البرازيل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b w:val="1"/>
          <w:rtl w:val="1"/>
        </w:rPr>
        <w:t xml:space="preserve">تعريف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والظواهر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والمدروسة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أبحاث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والمقسمة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النوعية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الكمية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الهوية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الحجم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للمتغيرات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الفواصل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الزمنية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المتساوية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فمثلا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والسادسة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قيمة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الأدنى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للصفر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طرق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المقاييس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المطلقة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الأساسية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وتعتمد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المقارنة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مؤشرات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التحويل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المزدوج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Gauss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الصدفة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تفاضلية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والمرجع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كاليبر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ميكرومتر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الانحراف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بانحراف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التكميلية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السائلة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الاستبدال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القيمتين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الفارغ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التفاضلي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b w:val="1"/>
          <w:rtl w:val="1"/>
        </w:rPr>
        <w:t xml:space="preserve">وحدات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شائعين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:[3]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للوحدات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SI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والكلفن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المئوية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والأمبير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والشمعدان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كانديلا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الإضاءة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المضاعفات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الإمبراطوري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ينحصر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المتفرقة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الجالونات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والياردات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والجنيهات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الإمبراطوري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الاستخدام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مسطرة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وسنتعرف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والمسافة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بمقاساتها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والشريط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أمتار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الليزرية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،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الزوايا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وغالبا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والمنقلة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للزوايا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الكهربائي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وقوانينها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الجلفانومتر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الأومترو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الفولتمتر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والوزن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والحجم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كالأكواب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بالليتر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الحرارة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قرائتها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الزئبق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كمؤقتات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للزمن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أخرى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وعدادات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والكيلومتراج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تقطعها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بطبيعتها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انحراف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المنهجية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المنهجي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bidi w:val="1"/>
        <w:ind w:left="1440" w:hanging="360"/>
      </w:pP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المراقبة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الملاحظة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الفولتميتر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يتأرجح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bidi w:val="1"/>
        <w:ind w:left="1440" w:hanging="360"/>
      </w:pPr>
      <w:r w:rsidDel="00000000" w:rsidR="00000000" w:rsidRPr="00000000">
        <w:rPr>
          <w:b w:val="1"/>
          <w:rtl w:val="1"/>
        </w:rPr>
        <w:t xml:space="preserve">الأخطاء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البيئية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الرطوبة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الأوساخ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الاهتزاز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الكهروستاتيكي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المغناطيسي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للجهاز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bidi w:val="1"/>
        <w:ind w:left="1440" w:hanging="360"/>
      </w:pP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إساءة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الجهاز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bidi w:val="1"/>
        <w:ind w:left="1440" w:hanging="360"/>
      </w:pP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المتأصلة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الأجهزة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يتجزأ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فمثلا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الزنبرك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التباطؤ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الاحتكاك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bidi w:val="1"/>
        <w:ind w:left="1440" w:hanging="360"/>
      </w:pP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التحميل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الإفتراضي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عشوائية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الإجمالية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وتسجيلها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العشوائية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التذبذبات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العشوائية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المماثل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تكثيف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قياسات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للتأكد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المطلق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b w:val="1"/>
          <w:rtl w:val="0"/>
        </w:rPr>
        <w:t xml:space="preserve">VA-VE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b w:val="1"/>
          <w:rtl w:val="0"/>
        </w:rPr>
        <w:t xml:space="preserve">VA-VE ÷ VE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المئوية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للخطأ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المئوية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للخطأ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استخلاصها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100، </w:t>
      </w:r>
      <w:r w:rsidDel="00000000" w:rsidR="00000000" w:rsidRPr="00000000">
        <w:rPr>
          <w:rtl w:val="1"/>
        </w:rPr>
        <w:t xml:space="preserve">وبالتي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%=100×(VA-VE ÷ VE)</w:t>
      </w:r>
    </w:p>
    <w:p w:rsidR="00000000" w:rsidDel="00000000" w:rsidP="00000000" w:rsidRDefault="00000000" w:rsidRPr="00000000" w14:paraId="0000004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تنص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المسألة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5.8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5.72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المئوية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:[4]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معطيات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1"/>
        </w:rPr>
        <w:t xml:space="preserve">=5.8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=5.72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5.8- 5.72= 0.08 </w:t>
      </w:r>
      <w:r w:rsidDel="00000000" w:rsidR="00000000" w:rsidRPr="00000000">
        <w:rPr>
          <w:rtl w:val="1"/>
        </w:rPr>
        <w:t xml:space="preserve">قدم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0"/>
        </w:rPr>
        <w:t xml:space="preserve"> ÷ 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0.08÷5.72 = 0.014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المئوية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للخطأ</w:t>
      </w:r>
      <w:r w:rsidDel="00000000" w:rsidR="00000000" w:rsidRPr="00000000">
        <w:rPr>
          <w:rtl w:val="1"/>
        </w:rPr>
        <w:t xml:space="preserve"> %=100×(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0"/>
        </w:rPr>
        <w:t xml:space="preserve"> ÷ 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وبالتعويض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0.014 × 100 = 1.4%.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أوضحناه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التفصيلات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وأخطائه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يخصه</w:t>
      </w:r>
      <w:r w:rsidDel="00000000" w:rsidR="00000000" w:rsidRPr="00000000">
        <w:rPr>
          <w:rtl w:val="1"/>
        </w:rPr>
        <w:t xml:space="preserve">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