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5476" w14:textId="77777777" w:rsidR="00F93C29" w:rsidRPr="00F93C29" w:rsidRDefault="00F93C29" w:rsidP="00F93C29">
      <w:pPr>
        <w:bidi/>
        <w:rPr>
          <w:b/>
          <w:bCs/>
        </w:rPr>
      </w:pPr>
      <w:r w:rsidRPr="00F93C29">
        <w:rPr>
          <w:b/>
          <w:bCs/>
          <w:rtl/>
        </w:rPr>
        <w:t>اللائحة التنفيذية لنظام التكاليف القضائية</w:t>
      </w:r>
    </w:p>
    <w:p w14:paraId="36BC34B8" w14:textId="77777777" w:rsidR="00F93C29" w:rsidRPr="00F93C29" w:rsidRDefault="00F93C29" w:rsidP="00F93C29">
      <w:pPr>
        <w:bidi/>
      </w:pPr>
      <w:r w:rsidRPr="00F93C29">
        <w:rPr>
          <w:rtl/>
        </w:rPr>
        <w:t>عدد مرات التصفح</w:t>
      </w:r>
      <w:r w:rsidRPr="00F93C29">
        <w:t>61324</w:t>
      </w:r>
    </w:p>
    <w:p w14:paraId="6D3F53FA" w14:textId="77777777" w:rsidR="00F93C29" w:rsidRPr="00F93C29" w:rsidRDefault="00F93C29" w:rsidP="00F93C29">
      <w:pPr>
        <w:bidi/>
        <w:rPr>
          <w:b/>
          <w:bCs/>
        </w:rPr>
      </w:pPr>
      <w:r w:rsidRPr="00F93C29">
        <w:rPr>
          <w:b/>
          <w:bCs/>
          <w:rtl/>
        </w:rPr>
        <w:t>نبذة عن النظام</w:t>
      </w:r>
    </w:p>
    <w:p w14:paraId="3185958F" w14:textId="77777777" w:rsidR="00F93C29" w:rsidRPr="00F93C29" w:rsidRDefault="00F93C29" w:rsidP="00F93C29">
      <w:pPr>
        <w:bidi/>
      </w:pPr>
      <w:r w:rsidRPr="00F93C29">
        <w:rPr>
          <w:rtl/>
        </w:rPr>
        <w:t>الموافقة على اللائحة التنفيذية لنظام التكاليف القضائية</w:t>
      </w:r>
    </w:p>
    <w:p w14:paraId="6CC74C9D" w14:textId="77777777" w:rsidR="00F93C29" w:rsidRPr="00F93C29" w:rsidRDefault="00F93C29" w:rsidP="00F93C29">
      <w:pPr>
        <w:bidi/>
      </w:pPr>
    </w:p>
    <w:p w14:paraId="34D30FAF" w14:textId="77777777" w:rsidR="00F93C29" w:rsidRPr="00F93C29" w:rsidRDefault="00F93C29" w:rsidP="00F93C29">
      <w:pPr>
        <w:bidi/>
      </w:pPr>
      <w:r w:rsidRPr="00F93C29">
        <w:t> </w:t>
      </w:r>
    </w:p>
    <w:p w14:paraId="200D6EBD" w14:textId="77777777" w:rsidR="00F93C29" w:rsidRPr="00F93C29" w:rsidRDefault="00F93C29" w:rsidP="00F93C29">
      <w:pPr>
        <w:bidi/>
      </w:pPr>
      <w:proofErr w:type="spellStart"/>
      <w:r w:rsidRPr="00F93C29">
        <w:rPr>
          <w:rtl/>
        </w:rPr>
        <w:t>الاسماللائحة</w:t>
      </w:r>
      <w:proofErr w:type="spellEnd"/>
      <w:r w:rsidRPr="00F93C29">
        <w:rPr>
          <w:rtl/>
        </w:rPr>
        <w:t xml:space="preserve"> التنفيذية لنظام التكاليف القضائية</w:t>
      </w:r>
    </w:p>
    <w:p w14:paraId="3E5E0B0C" w14:textId="77777777" w:rsidR="00F93C29" w:rsidRPr="00F93C29" w:rsidRDefault="00F93C29" w:rsidP="00F93C29">
      <w:pPr>
        <w:bidi/>
      </w:pPr>
      <w:r w:rsidRPr="00F93C29">
        <w:rPr>
          <w:rtl/>
        </w:rPr>
        <w:t>تاريخ الإصدار</w:t>
      </w:r>
      <w:r w:rsidRPr="00F93C29">
        <w:t xml:space="preserve">1443/09/11 </w:t>
      </w:r>
      <w:r w:rsidRPr="00F93C29">
        <w:rPr>
          <w:rtl/>
        </w:rPr>
        <w:t xml:space="preserve">هـ </w:t>
      </w:r>
      <w:proofErr w:type="gramStart"/>
      <w:r w:rsidRPr="00F93C29">
        <w:rPr>
          <w:rtl/>
        </w:rPr>
        <w:t>الموافق :</w:t>
      </w:r>
      <w:proofErr w:type="gramEnd"/>
      <w:r w:rsidRPr="00F93C29">
        <w:rPr>
          <w:rtl/>
        </w:rPr>
        <w:t xml:space="preserve"> 12/04/2022 مـ</w:t>
      </w:r>
    </w:p>
    <w:p w14:paraId="38DAA2A7" w14:textId="77777777" w:rsidR="00F93C29" w:rsidRPr="00F93C29" w:rsidRDefault="00F93C29" w:rsidP="00F93C29">
      <w:pPr>
        <w:bidi/>
      </w:pPr>
      <w:r w:rsidRPr="00F93C29">
        <w:rPr>
          <w:rtl/>
        </w:rPr>
        <w:t>تاريخ النشر</w:t>
      </w:r>
      <w:r w:rsidRPr="00F93C29">
        <w:t xml:space="preserve">1443/09/21 </w:t>
      </w:r>
      <w:r w:rsidRPr="00F93C29">
        <w:rPr>
          <w:rtl/>
        </w:rPr>
        <w:t xml:space="preserve">هـ </w:t>
      </w:r>
      <w:proofErr w:type="gramStart"/>
      <w:r w:rsidRPr="00F93C29">
        <w:rPr>
          <w:rtl/>
        </w:rPr>
        <w:t>الموافق :</w:t>
      </w:r>
      <w:proofErr w:type="gramEnd"/>
      <w:r w:rsidRPr="00F93C29">
        <w:rPr>
          <w:rtl/>
        </w:rPr>
        <w:t xml:space="preserve"> 22/04/2022 مـ</w:t>
      </w:r>
    </w:p>
    <w:p w14:paraId="369EAB99" w14:textId="77777777" w:rsidR="00F93C29" w:rsidRPr="00F93C29" w:rsidRDefault="00F93C29" w:rsidP="00F93C29">
      <w:pPr>
        <w:bidi/>
      </w:pPr>
      <w:proofErr w:type="spellStart"/>
      <w:r w:rsidRPr="00F93C29">
        <w:rPr>
          <w:rtl/>
        </w:rPr>
        <w:t>الحالةساري</w:t>
      </w:r>
      <w:proofErr w:type="spellEnd"/>
    </w:p>
    <w:p w14:paraId="0029D8A3" w14:textId="77777777" w:rsidR="00F93C29" w:rsidRPr="00F93C29" w:rsidRDefault="00F93C29" w:rsidP="00F93C29">
      <w:pPr>
        <w:bidi/>
      </w:pPr>
      <w:r w:rsidRPr="00F93C29">
        <w:rPr>
          <w:rtl/>
        </w:rPr>
        <w:t>أدوات إصدار النظام</w:t>
      </w:r>
    </w:p>
    <w:p w14:paraId="6068A6B3" w14:textId="22A9A6ED" w:rsidR="00F93C29" w:rsidRPr="00F93C29" w:rsidRDefault="00F93C29" w:rsidP="00F93C29">
      <w:pPr>
        <w:bidi/>
      </w:pPr>
    </w:p>
    <w:p w14:paraId="29D017CB" w14:textId="77777777" w:rsidR="00F93C29" w:rsidRPr="00F93C29" w:rsidRDefault="00F93C29" w:rsidP="00F93C29">
      <w:pPr>
        <w:numPr>
          <w:ilvl w:val="0"/>
          <w:numId w:val="1"/>
        </w:numPr>
        <w:bidi/>
      </w:pPr>
      <w:r w:rsidRPr="00F93C29">
        <w:rPr>
          <w:rtl/>
        </w:rPr>
        <w:t>قرار مجلس الوزراء رقم (519) وتاريخ 1443/9/11هـ</w:t>
      </w:r>
    </w:p>
    <w:p w14:paraId="2F2D84CA" w14:textId="0619B10B" w:rsidR="00F93C29" w:rsidRPr="00F93C29" w:rsidRDefault="00F93C29" w:rsidP="00F93C29">
      <w:pPr>
        <w:bidi/>
      </w:pPr>
    </w:p>
    <w:p w14:paraId="004BFC26" w14:textId="77777777" w:rsidR="00F93C29" w:rsidRPr="00F93C29" w:rsidRDefault="00F93C29" w:rsidP="00F93C29">
      <w:pPr>
        <w:bidi/>
        <w:rPr>
          <w:b/>
          <w:bCs/>
        </w:rPr>
      </w:pPr>
      <w:r w:rsidRPr="00F93C29">
        <w:rPr>
          <w:b/>
          <w:bCs/>
          <w:rtl/>
        </w:rPr>
        <w:t>نـــص النظـــام</w:t>
      </w:r>
    </w:p>
    <w:p w14:paraId="7E14EB35" w14:textId="77777777" w:rsidR="00F93C29" w:rsidRPr="00F93C29" w:rsidRDefault="00F93C29" w:rsidP="00F93C29">
      <w:pPr>
        <w:bidi/>
      </w:pPr>
      <w:r w:rsidRPr="00F93C29">
        <w:rPr>
          <w:rtl/>
        </w:rPr>
        <w:t>مادة معدلة مادة ملغية</w:t>
      </w:r>
    </w:p>
    <w:p w14:paraId="52D8B3B9" w14:textId="77777777" w:rsidR="00F93C29" w:rsidRPr="00F93C29" w:rsidRDefault="00F93C29" w:rsidP="00F93C29">
      <w:pPr>
        <w:bidi/>
        <w:rPr>
          <w:b/>
          <w:bCs/>
        </w:rPr>
      </w:pPr>
      <w:r w:rsidRPr="00F93C29">
        <w:rPr>
          <w:b/>
          <w:bCs/>
          <w:rtl/>
        </w:rPr>
        <w:t>اللائحة التنفيذية لنظام التكاليف القضائية</w:t>
      </w:r>
    </w:p>
    <w:p w14:paraId="5E73989F" w14:textId="77777777" w:rsidR="00F93C29" w:rsidRPr="00F93C29" w:rsidRDefault="00F93C29" w:rsidP="00F93C29">
      <w:pPr>
        <w:bidi/>
        <w:rPr>
          <w:b/>
          <w:bCs/>
        </w:rPr>
      </w:pPr>
      <w:r w:rsidRPr="00F93C29">
        <w:rPr>
          <w:b/>
          <w:bCs/>
        </w:rPr>
        <w:t xml:space="preserve">1443 </w:t>
      </w:r>
      <w:r w:rsidRPr="00F93C29">
        <w:rPr>
          <w:b/>
          <w:bCs/>
          <w:rtl/>
        </w:rPr>
        <w:t>هـ</w:t>
      </w:r>
    </w:p>
    <w:p w14:paraId="13B2F27E" w14:textId="77777777" w:rsidR="00F93C29" w:rsidRPr="00F93C29" w:rsidRDefault="00F93C29" w:rsidP="00F93C29">
      <w:pPr>
        <w:bidi/>
      </w:pPr>
      <w:r w:rsidRPr="00F93C29">
        <w:rPr>
          <w:rtl/>
        </w:rPr>
        <w:t>بسم الله الرحمن الرحيم</w:t>
      </w:r>
    </w:p>
    <w:p w14:paraId="530D805F" w14:textId="77777777" w:rsidR="00F93C29" w:rsidRPr="00F93C29" w:rsidRDefault="00F93C29" w:rsidP="00F93C29">
      <w:pPr>
        <w:bidi/>
        <w:rPr>
          <w:b/>
          <w:bCs/>
        </w:rPr>
      </w:pPr>
      <w:r w:rsidRPr="00F93C29">
        <w:rPr>
          <w:b/>
          <w:bCs/>
          <w:rtl/>
        </w:rPr>
        <w:t>قرار مجلس الوزراء رقم (519) وتاريخ 1443/9/11هـ</w:t>
      </w:r>
    </w:p>
    <w:p w14:paraId="4802A9FB" w14:textId="77777777" w:rsidR="00F93C29" w:rsidRPr="00F93C29" w:rsidRDefault="00F93C29" w:rsidP="00F93C29">
      <w:pPr>
        <w:bidi/>
      </w:pPr>
      <w:r w:rsidRPr="00F93C29">
        <w:rPr>
          <w:b/>
          <w:bCs/>
          <w:rtl/>
        </w:rPr>
        <w:t>إن مجلس الوزراء</w:t>
      </w:r>
      <w:r w:rsidRPr="00F93C29">
        <w:rPr>
          <w:b/>
          <w:bCs/>
        </w:rPr>
        <w:br/>
      </w:r>
      <w:r w:rsidRPr="00F93C29">
        <w:rPr>
          <w:b/>
          <w:bCs/>
          <w:rtl/>
        </w:rPr>
        <w:t>بعد الاطلاع </w:t>
      </w:r>
      <w:r w:rsidRPr="00F93C29">
        <w:rPr>
          <w:rtl/>
        </w:rPr>
        <w:t>على المعاملة الواردة من الديوان الملكي برقم 22036 وتاريخ 7 / 4 / 1443هـ، المشتملة على برقية معالي وزير العدل رقم 439587795 وتاريخ 2 / 4 / 1443هـ، في شأن مشروع اللائحة التنفيذية لنظام التكاليف القضائية</w:t>
      </w:r>
      <w:r w:rsidRPr="00F93C29">
        <w:t>.</w:t>
      </w:r>
      <w:r w:rsidRPr="00F93C29">
        <w:br/>
      </w:r>
      <w:r w:rsidRPr="00F93C29">
        <w:rPr>
          <w:b/>
          <w:bCs/>
          <w:rtl/>
        </w:rPr>
        <w:t>وبعد الاطلاع </w:t>
      </w:r>
      <w:r w:rsidRPr="00F93C29">
        <w:rPr>
          <w:rtl/>
        </w:rPr>
        <w:t>على مشروع اللائحة المشار إليه</w:t>
      </w:r>
      <w:r w:rsidRPr="00F93C29">
        <w:t>.</w:t>
      </w:r>
      <w:r w:rsidRPr="00F93C29">
        <w:br/>
      </w:r>
      <w:r w:rsidRPr="00F93C29">
        <w:rPr>
          <w:b/>
          <w:bCs/>
          <w:rtl/>
        </w:rPr>
        <w:t>وبعد الاطلاع</w:t>
      </w:r>
      <w:r w:rsidRPr="00F93C29">
        <w:rPr>
          <w:rtl/>
        </w:rPr>
        <w:t> على نظام التكاليف القضائية، الصادر بالمرسوم الملكي رقم (م / 16) وتاريخ 30 / 1 / 1443هـ</w:t>
      </w:r>
      <w:r w:rsidRPr="00F93C29">
        <w:t>. </w:t>
      </w:r>
      <w:r w:rsidRPr="00F93C29">
        <w:br/>
      </w:r>
      <w:r w:rsidRPr="00F93C29">
        <w:rPr>
          <w:b/>
          <w:bCs/>
          <w:rtl/>
        </w:rPr>
        <w:t>وبعد الاطلاع</w:t>
      </w:r>
      <w:r w:rsidRPr="00F93C29">
        <w:rPr>
          <w:rtl/>
        </w:rPr>
        <w:t> على المحضر رقم (373) وتاريخ 17 / 8 / 1443هـ، المعد في هيئة الخبراء بمجلس الوزراء</w:t>
      </w:r>
      <w:r w:rsidRPr="00F93C29">
        <w:t> </w:t>
      </w:r>
      <w:r w:rsidRPr="00F93C29">
        <w:br/>
      </w:r>
      <w:r w:rsidRPr="00F93C29">
        <w:rPr>
          <w:b/>
          <w:bCs/>
          <w:rtl/>
        </w:rPr>
        <w:t>وبعد الاطلاع</w:t>
      </w:r>
      <w:r w:rsidRPr="00F93C29">
        <w:rPr>
          <w:rtl/>
        </w:rPr>
        <w:t> على توصية اللجنة العامة لمجلس الوزراء رقم (7978) وتاريخ 9 / 9 / 1443هـ</w:t>
      </w:r>
      <w:r w:rsidRPr="00F93C29">
        <w:t>.</w:t>
      </w:r>
    </w:p>
    <w:p w14:paraId="293FEA7C" w14:textId="77777777" w:rsidR="00F93C29" w:rsidRPr="00F93C29" w:rsidRDefault="00F93C29" w:rsidP="00F93C29">
      <w:pPr>
        <w:bidi/>
      </w:pPr>
      <w:r w:rsidRPr="00F93C29">
        <w:rPr>
          <w:b/>
          <w:bCs/>
          <w:rtl/>
        </w:rPr>
        <w:t>يقرر ما يلي</w:t>
      </w:r>
      <w:r w:rsidRPr="00F93C29">
        <w:rPr>
          <w:b/>
          <w:bCs/>
        </w:rPr>
        <w:t>:</w:t>
      </w:r>
    </w:p>
    <w:p w14:paraId="14136AE5" w14:textId="77777777" w:rsidR="00F93C29" w:rsidRPr="00F93C29" w:rsidRDefault="00F93C29" w:rsidP="00F93C29">
      <w:pPr>
        <w:bidi/>
      </w:pPr>
      <w:r w:rsidRPr="00F93C29">
        <w:rPr>
          <w:b/>
          <w:bCs/>
          <w:rtl/>
        </w:rPr>
        <w:t>أولاً</w:t>
      </w:r>
      <w:r w:rsidRPr="00F93C29">
        <w:rPr>
          <w:b/>
          <w:bCs/>
        </w:rPr>
        <w:t>: </w:t>
      </w:r>
      <w:r w:rsidRPr="00F93C29">
        <w:rPr>
          <w:rtl/>
        </w:rPr>
        <w:t>الموافقة على اللائحة التنفيذية لنظام التكاليف القضائية، بالصيغة المرافقة</w:t>
      </w:r>
      <w:r w:rsidRPr="00F93C29">
        <w:t>. </w:t>
      </w:r>
      <w:r w:rsidRPr="00F93C29">
        <w:br/>
      </w:r>
      <w:r w:rsidRPr="00F93C29">
        <w:rPr>
          <w:b/>
          <w:bCs/>
          <w:rtl/>
        </w:rPr>
        <w:t>ثانياً</w:t>
      </w:r>
      <w:r w:rsidRPr="00F93C29">
        <w:rPr>
          <w:b/>
          <w:bCs/>
        </w:rPr>
        <w:t>:</w:t>
      </w:r>
      <w:r w:rsidRPr="00F93C29">
        <w:t> </w:t>
      </w:r>
      <w:r w:rsidRPr="00F93C29">
        <w:rPr>
          <w:rtl/>
        </w:rPr>
        <w:t>تتحمل الدولة التكاليف القضائية المستحقة على مستفيدي الضمان الاجتماعي</w:t>
      </w:r>
      <w:r w:rsidRPr="00F93C29">
        <w:t>. </w:t>
      </w:r>
    </w:p>
    <w:p w14:paraId="47F8907C" w14:textId="77777777" w:rsidR="00F93C29" w:rsidRPr="00F93C29" w:rsidRDefault="00F93C29" w:rsidP="00F93C29">
      <w:pPr>
        <w:bidi/>
      </w:pPr>
      <w:r w:rsidRPr="00F93C29">
        <w:rPr>
          <w:b/>
          <w:bCs/>
          <w:rtl/>
        </w:rPr>
        <w:t>رئيس مجلس الوزراء</w:t>
      </w:r>
    </w:p>
    <w:p w14:paraId="25CBAEDA" w14:textId="77777777" w:rsidR="00F93C29" w:rsidRPr="00F93C29" w:rsidRDefault="00F93C29" w:rsidP="00F93C29">
      <w:pPr>
        <w:bidi/>
        <w:rPr>
          <w:b/>
          <w:bCs/>
        </w:rPr>
      </w:pPr>
      <w:r w:rsidRPr="00F93C29">
        <w:rPr>
          <w:b/>
          <w:bCs/>
          <w:rtl/>
        </w:rPr>
        <w:t>اللائحة التنفيذية لنظام التكاليف القضائية</w:t>
      </w:r>
    </w:p>
    <w:p w14:paraId="11FFB7D1" w14:textId="77777777" w:rsidR="00F93C29" w:rsidRPr="00F93C29" w:rsidRDefault="00F93C29" w:rsidP="00F93C29">
      <w:pPr>
        <w:bidi/>
        <w:rPr>
          <w:b/>
          <w:bCs/>
        </w:rPr>
      </w:pPr>
      <w:r w:rsidRPr="00F93C29">
        <w:rPr>
          <w:b/>
          <w:bCs/>
          <w:rtl/>
        </w:rPr>
        <w:lastRenderedPageBreak/>
        <w:t>المادة الأولى</w:t>
      </w:r>
    </w:p>
    <w:p w14:paraId="1A3B7F81" w14:textId="77777777" w:rsidR="00F93C29" w:rsidRPr="00F93C29" w:rsidRDefault="00F93C29" w:rsidP="00F93C29">
      <w:pPr>
        <w:bidi/>
      </w:pPr>
      <w:r w:rsidRPr="00F93C29">
        <w:rPr>
          <w:rtl/>
        </w:rPr>
        <w:t>يكون للألفاظ والمصطلحات الواردة في هذه اللائحة المعاني المبينة في المادة (الأولى) من نظام التكاليف القضائية</w:t>
      </w:r>
      <w:r w:rsidRPr="00F93C29">
        <w:t>.</w:t>
      </w:r>
    </w:p>
    <w:p w14:paraId="779742A3" w14:textId="77777777" w:rsidR="00F93C29" w:rsidRPr="00F93C29" w:rsidRDefault="00F93C29" w:rsidP="00F93C29">
      <w:pPr>
        <w:bidi/>
        <w:rPr>
          <w:b/>
          <w:bCs/>
        </w:rPr>
      </w:pPr>
      <w:r w:rsidRPr="00F93C29">
        <w:rPr>
          <w:b/>
          <w:bCs/>
          <w:rtl/>
        </w:rPr>
        <w:t>الفصل الأول: تقدير التكاليف القضائية</w:t>
      </w:r>
    </w:p>
    <w:p w14:paraId="00E47210" w14:textId="77777777" w:rsidR="00F93C29" w:rsidRPr="00F93C29" w:rsidRDefault="00F93C29" w:rsidP="00F93C29">
      <w:pPr>
        <w:bidi/>
        <w:rPr>
          <w:b/>
          <w:bCs/>
        </w:rPr>
      </w:pPr>
      <w:r w:rsidRPr="00F93C29">
        <w:rPr>
          <w:b/>
          <w:bCs/>
          <w:rtl/>
        </w:rPr>
        <w:t>المادة الثانية</w:t>
      </w:r>
    </w:p>
    <w:p w14:paraId="56F87341" w14:textId="77777777" w:rsidR="00F93C29" w:rsidRPr="00F93C29" w:rsidRDefault="00F93C29" w:rsidP="00F93C29">
      <w:pPr>
        <w:numPr>
          <w:ilvl w:val="0"/>
          <w:numId w:val="2"/>
        </w:numPr>
        <w:bidi/>
      </w:pPr>
      <w:r w:rsidRPr="00F93C29">
        <w:rPr>
          <w:b/>
          <w:bCs/>
          <w:rtl/>
        </w:rPr>
        <w:t>مع مراعاة ما تقضي به المادة (الثالثة) من النظام؛ تُقدّر التكاليف القضائية للدعوى المحددة القيمة؛ على أساس نسبة من قيمة المطالبة فيها، وذلك على النحو الآتي</w:t>
      </w:r>
      <w:r w:rsidRPr="00F93C29">
        <w:rPr>
          <w:b/>
          <w:bCs/>
        </w:rPr>
        <w:t>:</w:t>
      </w:r>
      <w:r w:rsidRPr="00F93C29">
        <w:br/>
      </w:r>
      <w:r w:rsidRPr="00F93C29">
        <w:rPr>
          <w:b/>
          <w:bCs/>
          <w:rtl/>
        </w:rPr>
        <w:t>أ</w:t>
      </w:r>
      <w:r w:rsidRPr="00F93C29">
        <w:rPr>
          <w:b/>
          <w:bCs/>
        </w:rPr>
        <w:t>-</w:t>
      </w:r>
      <w:r w:rsidRPr="00F93C29">
        <w:t> </w:t>
      </w:r>
      <w:r w:rsidRPr="00F93C29">
        <w:rPr>
          <w:rtl/>
        </w:rPr>
        <w:t>نسبة (٥٪) إذا كانت قيمة المطالبة أقل من مائة ألف ريال</w:t>
      </w:r>
      <w:r w:rsidRPr="00F93C29">
        <w:t>.</w:t>
      </w:r>
      <w:r w:rsidRPr="00F93C29">
        <w:br/>
      </w:r>
      <w:r w:rsidRPr="00F93C29">
        <w:rPr>
          <w:b/>
          <w:bCs/>
          <w:rtl/>
        </w:rPr>
        <w:t>ب</w:t>
      </w:r>
      <w:r w:rsidRPr="00F93C29">
        <w:rPr>
          <w:b/>
          <w:bCs/>
        </w:rPr>
        <w:t>-</w:t>
      </w:r>
      <w:r w:rsidRPr="00F93C29">
        <w:t> </w:t>
      </w:r>
      <w:r w:rsidRPr="00F93C29">
        <w:rPr>
          <w:rtl/>
        </w:rPr>
        <w:t>نسبة (٤٪) إذا كانت قيمة المطالبة مائة ألف ريال فأكثر، وتقل عن خمسمائة ألف ريال</w:t>
      </w:r>
      <w:r w:rsidRPr="00F93C29">
        <w:t>.</w:t>
      </w:r>
      <w:r w:rsidRPr="00F93C29">
        <w:br/>
      </w:r>
      <w:r w:rsidRPr="00F93C29">
        <w:rPr>
          <w:b/>
          <w:bCs/>
          <w:rtl/>
        </w:rPr>
        <w:t>ج</w:t>
      </w:r>
      <w:r w:rsidRPr="00F93C29">
        <w:rPr>
          <w:b/>
          <w:bCs/>
        </w:rPr>
        <w:t>-</w:t>
      </w:r>
      <w:r w:rsidRPr="00F93C29">
        <w:t> </w:t>
      </w:r>
      <w:r w:rsidRPr="00F93C29">
        <w:rPr>
          <w:rtl/>
        </w:rPr>
        <w:t>نسبة (٣٪) إذا كانت قيمة المطالبة خمسمائة ألف ريال فأكثر، وتقل عن مليون ريال</w:t>
      </w:r>
      <w:r w:rsidRPr="00F93C29">
        <w:t>.</w:t>
      </w:r>
      <w:r w:rsidRPr="00F93C29">
        <w:br/>
      </w:r>
      <w:r w:rsidRPr="00F93C29">
        <w:rPr>
          <w:b/>
          <w:bCs/>
          <w:rtl/>
        </w:rPr>
        <w:t>د</w:t>
      </w:r>
      <w:r w:rsidRPr="00F93C29">
        <w:rPr>
          <w:b/>
          <w:bCs/>
        </w:rPr>
        <w:t>-</w:t>
      </w:r>
      <w:r w:rsidRPr="00F93C29">
        <w:t> </w:t>
      </w:r>
      <w:r w:rsidRPr="00F93C29">
        <w:rPr>
          <w:rtl/>
        </w:rPr>
        <w:t>نسبة (٢٪) إذا كانت قيمة المطالبة مليون ريال فأعلى</w:t>
      </w:r>
      <w:r w:rsidRPr="00F93C29">
        <w:t>.</w:t>
      </w:r>
    </w:p>
    <w:p w14:paraId="146A5B3C" w14:textId="77777777" w:rsidR="00F93C29" w:rsidRPr="00F93C29" w:rsidRDefault="00F93C29" w:rsidP="00F93C29">
      <w:pPr>
        <w:numPr>
          <w:ilvl w:val="0"/>
          <w:numId w:val="2"/>
        </w:numPr>
        <w:bidi/>
      </w:pPr>
      <w:r w:rsidRPr="00F93C29">
        <w:rPr>
          <w:b/>
          <w:bCs/>
          <w:rtl/>
        </w:rPr>
        <w:t>تُحدد قيمة المطالبة على النحو الآتي</w:t>
      </w:r>
      <w:r w:rsidRPr="00F93C29">
        <w:rPr>
          <w:b/>
          <w:bCs/>
        </w:rPr>
        <w:t>:</w:t>
      </w:r>
      <w:r w:rsidRPr="00F93C29">
        <w:br/>
      </w:r>
      <w:r w:rsidRPr="00F93C29">
        <w:rPr>
          <w:b/>
          <w:bCs/>
          <w:rtl/>
        </w:rPr>
        <w:t>أ</w:t>
      </w:r>
      <w:r w:rsidRPr="00F93C29">
        <w:rPr>
          <w:b/>
          <w:bCs/>
        </w:rPr>
        <w:t>-</w:t>
      </w:r>
      <w:r w:rsidRPr="00F93C29">
        <w:t> </w:t>
      </w:r>
      <w:r w:rsidRPr="00F93C29">
        <w:rPr>
          <w:rtl/>
        </w:rPr>
        <w:t>فيما يتعلق بالدعاوى المالية، تُحدد على أساس المبلغ الذي يطلب المدعي الحكم به</w:t>
      </w:r>
      <w:r w:rsidRPr="00F93C29">
        <w:t>.</w:t>
      </w:r>
      <w:r w:rsidRPr="00F93C29">
        <w:br/>
      </w:r>
      <w:r w:rsidRPr="00F93C29">
        <w:rPr>
          <w:b/>
          <w:bCs/>
          <w:rtl/>
        </w:rPr>
        <w:t>ب</w:t>
      </w:r>
      <w:r w:rsidRPr="00F93C29">
        <w:rPr>
          <w:b/>
          <w:bCs/>
        </w:rPr>
        <w:t>-</w:t>
      </w:r>
      <w:r w:rsidRPr="00F93C29">
        <w:t> </w:t>
      </w:r>
      <w:r w:rsidRPr="00F93C29">
        <w:rPr>
          <w:rtl/>
        </w:rPr>
        <w:t>في الدعاوى المتعلقة بإثبات صحة عقد أو فسخه أو إبطاله أو الإلزام بتنفيذه، تُحدد على أساس قيمة الشيء المتنازع عليه وفقاً لقيمته المحددة في العقد</w:t>
      </w:r>
      <w:r w:rsidRPr="00F93C29">
        <w:t>.</w:t>
      </w:r>
      <w:r w:rsidRPr="00F93C29">
        <w:br/>
      </w:r>
      <w:r w:rsidRPr="00F93C29">
        <w:rPr>
          <w:b/>
          <w:bCs/>
          <w:rtl/>
        </w:rPr>
        <w:t>ج</w:t>
      </w:r>
      <w:r w:rsidRPr="00F93C29">
        <w:rPr>
          <w:b/>
          <w:bCs/>
        </w:rPr>
        <w:t>- </w:t>
      </w:r>
      <w:r w:rsidRPr="00F93C29">
        <w:rPr>
          <w:rtl/>
        </w:rPr>
        <w:t>في الدعاوى المتعلقة بمنازعات ملكية عقار؛ تُحدد على أساس قيمة العقار عند رفع الدعوى، وتُحدد قيمة العقار بناء على البيانات التاريخية -الموثقة لدى وزارة العدل- لقيمة مبايعات هذا العقار والعقارات المجاورة له، ونحو ذلك من الوسائل الأخرى التي تُمكن الوزارة من تحديد قيمته</w:t>
      </w:r>
      <w:r w:rsidRPr="00F93C29">
        <w:t>.</w:t>
      </w:r>
    </w:p>
    <w:p w14:paraId="4F3ACAD6" w14:textId="77777777" w:rsidR="00F93C29" w:rsidRPr="00F93C29" w:rsidRDefault="00F93C29" w:rsidP="00F93C29">
      <w:pPr>
        <w:bidi/>
        <w:rPr>
          <w:b/>
          <w:bCs/>
        </w:rPr>
      </w:pPr>
      <w:r w:rsidRPr="00F93C29">
        <w:rPr>
          <w:b/>
          <w:bCs/>
          <w:rtl/>
        </w:rPr>
        <w:t>المادة الثالثة</w:t>
      </w:r>
    </w:p>
    <w:p w14:paraId="1D845CDE" w14:textId="77777777" w:rsidR="00F93C29" w:rsidRPr="00F93C29" w:rsidRDefault="00F93C29" w:rsidP="00F93C29">
      <w:pPr>
        <w:bidi/>
      </w:pPr>
      <w:r w:rsidRPr="00F93C29">
        <w:rPr>
          <w:b/>
          <w:bCs/>
          <w:rtl/>
        </w:rPr>
        <w:t>تُقدّر التكاليف القضائية في الدعاوى غير محددة القيمة على النحو الآتي</w:t>
      </w:r>
      <w:r w:rsidRPr="00F93C29">
        <w:rPr>
          <w:b/>
          <w:bCs/>
        </w:rPr>
        <w:t>:</w:t>
      </w:r>
    </w:p>
    <w:p w14:paraId="79EB846A" w14:textId="77777777" w:rsidR="00F93C29" w:rsidRPr="00F93C29" w:rsidRDefault="00F93C29" w:rsidP="00F93C29">
      <w:pPr>
        <w:numPr>
          <w:ilvl w:val="0"/>
          <w:numId w:val="3"/>
        </w:numPr>
        <w:bidi/>
      </w:pPr>
      <w:r w:rsidRPr="00F93C29">
        <w:rPr>
          <w:rtl/>
        </w:rPr>
        <w:t>الدعاوى الجزائية الخاصة؛ عشرة آلاف ريال</w:t>
      </w:r>
      <w:r w:rsidRPr="00F93C29">
        <w:t>.</w:t>
      </w:r>
    </w:p>
    <w:p w14:paraId="5B43D98E" w14:textId="77777777" w:rsidR="00F93C29" w:rsidRPr="00F93C29" w:rsidRDefault="00F93C29" w:rsidP="00F93C29">
      <w:pPr>
        <w:numPr>
          <w:ilvl w:val="0"/>
          <w:numId w:val="3"/>
        </w:numPr>
        <w:bidi/>
      </w:pPr>
      <w:r w:rsidRPr="00F93C29">
        <w:rPr>
          <w:rtl/>
        </w:rPr>
        <w:t>الدعاوى التي تُنظر لدى المحاكم التجارية والدوائر التجارية؛ خمسة آلاف ريال</w:t>
      </w:r>
      <w:r w:rsidRPr="00F93C29">
        <w:t>.</w:t>
      </w:r>
    </w:p>
    <w:p w14:paraId="54FE10F3" w14:textId="77777777" w:rsidR="00F93C29" w:rsidRPr="00F93C29" w:rsidRDefault="00F93C29" w:rsidP="00F93C29">
      <w:pPr>
        <w:numPr>
          <w:ilvl w:val="0"/>
          <w:numId w:val="3"/>
        </w:numPr>
        <w:bidi/>
      </w:pPr>
      <w:r w:rsidRPr="00F93C29">
        <w:rPr>
          <w:rtl/>
        </w:rPr>
        <w:t>الدعاوى المستعجلة أيًا كانت المحكمة أو الدائرة التي تنظرها؛ ثلاثة آلاف ريال</w:t>
      </w:r>
      <w:r w:rsidRPr="00F93C29">
        <w:t>.</w:t>
      </w:r>
    </w:p>
    <w:p w14:paraId="31DD177D" w14:textId="77777777" w:rsidR="00F93C29" w:rsidRPr="00F93C29" w:rsidRDefault="00F93C29" w:rsidP="00F93C29">
      <w:pPr>
        <w:numPr>
          <w:ilvl w:val="0"/>
          <w:numId w:val="3"/>
        </w:numPr>
        <w:bidi/>
      </w:pPr>
      <w:r w:rsidRPr="00F93C29">
        <w:rPr>
          <w:rtl/>
        </w:rPr>
        <w:t>الدعاوى التي تُنظر لدى المحاكم العامة؛ ثلاثة آلاف ريال</w:t>
      </w:r>
      <w:r w:rsidRPr="00F93C29">
        <w:t>.</w:t>
      </w:r>
    </w:p>
    <w:p w14:paraId="09DAEEC1" w14:textId="77777777" w:rsidR="00F93C29" w:rsidRPr="00F93C29" w:rsidRDefault="00F93C29" w:rsidP="00F93C29">
      <w:pPr>
        <w:numPr>
          <w:ilvl w:val="0"/>
          <w:numId w:val="3"/>
        </w:numPr>
        <w:bidi/>
      </w:pPr>
      <w:r w:rsidRPr="00F93C29">
        <w:rPr>
          <w:rtl/>
        </w:rPr>
        <w:t>منازعات التنفيذ؛ ثلاثة آلاف ريال</w:t>
      </w:r>
      <w:r w:rsidRPr="00F93C29">
        <w:t>.</w:t>
      </w:r>
    </w:p>
    <w:p w14:paraId="2F061B82" w14:textId="77777777" w:rsidR="00F93C29" w:rsidRPr="00F93C29" w:rsidRDefault="00F93C29" w:rsidP="00F93C29">
      <w:pPr>
        <w:numPr>
          <w:ilvl w:val="0"/>
          <w:numId w:val="3"/>
        </w:numPr>
        <w:bidi/>
      </w:pPr>
      <w:r w:rsidRPr="00F93C29">
        <w:rPr>
          <w:rtl/>
        </w:rPr>
        <w:t>الدعاوى التي تُنظر لدى المحاكم العمالية والدوائر العمالية؛ ألفا ريال</w:t>
      </w:r>
      <w:r w:rsidRPr="00F93C29">
        <w:t>.</w:t>
      </w:r>
    </w:p>
    <w:p w14:paraId="185A2950" w14:textId="77777777" w:rsidR="00F93C29" w:rsidRPr="00F93C29" w:rsidRDefault="00F93C29" w:rsidP="00F93C29">
      <w:pPr>
        <w:bidi/>
        <w:rPr>
          <w:b/>
          <w:bCs/>
        </w:rPr>
      </w:pPr>
      <w:r w:rsidRPr="00F93C29">
        <w:rPr>
          <w:b/>
          <w:bCs/>
          <w:rtl/>
        </w:rPr>
        <w:t>المادة الرابعة</w:t>
      </w:r>
    </w:p>
    <w:p w14:paraId="55EFA8CB" w14:textId="77777777" w:rsidR="00F93C29" w:rsidRPr="00F93C29" w:rsidRDefault="00F93C29" w:rsidP="00F93C29">
      <w:pPr>
        <w:bidi/>
      </w:pPr>
      <w:r w:rsidRPr="00F93C29">
        <w:rPr>
          <w:rtl/>
        </w:rPr>
        <w:t>إذا اشتملت الدعوى على مطالبة محددة القيمة وأخرى غير محددة القيمة، فتحتسب تكاليف كل مطالبة بحسب الأحكام الواردة في النظام واللائحة</w:t>
      </w:r>
      <w:r w:rsidRPr="00F93C29">
        <w:t>.</w:t>
      </w:r>
    </w:p>
    <w:p w14:paraId="662B5F91" w14:textId="77777777" w:rsidR="00F93C29" w:rsidRPr="00F93C29" w:rsidRDefault="00F93C29" w:rsidP="00F93C29">
      <w:pPr>
        <w:bidi/>
        <w:rPr>
          <w:b/>
          <w:bCs/>
        </w:rPr>
      </w:pPr>
      <w:r w:rsidRPr="00F93C29">
        <w:rPr>
          <w:b/>
          <w:bCs/>
          <w:rtl/>
        </w:rPr>
        <w:t>الفصل الثاني: تقدير التكاليف القضائية للطلبات</w:t>
      </w:r>
    </w:p>
    <w:p w14:paraId="28FE2621" w14:textId="77777777" w:rsidR="00F93C29" w:rsidRPr="00F93C29" w:rsidRDefault="00F93C29" w:rsidP="00F93C29">
      <w:pPr>
        <w:bidi/>
        <w:rPr>
          <w:b/>
          <w:bCs/>
        </w:rPr>
      </w:pPr>
      <w:r w:rsidRPr="00F93C29">
        <w:rPr>
          <w:b/>
          <w:bCs/>
          <w:rtl/>
        </w:rPr>
        <w:t>المادة الخامسة</w:t>
      </w:r>
    </w:p>
    <w:p w14:paraId="39097B68" w14:textId="77777777" w:rsidR="00F93C29" w:rsidRPr="00F93C29" w:rsidRDefault="00F93C29" w:rsidP="00F93C29">
      <w:pPr>
        <w:bidi/>
      </w:pPr>
      <w:r w:rsidRPr="00F93C29">
        <w:rPr>
          <w:rtl/>
        </w:rPr>
        <w:t>تُقدّر التكاليف القضائية لطلب التنفيذ المباشر بمبلغ قدره خمسمائة ريال، وفيما يتعلق بباقي طلبات التنفيذ، فتقدر التكاليف القضائية بنسبة اثنين في المائة (٢٪) من قيمة المطالبة على ألا تقل هذه التكاليف عن خمسمائة ريال ولا تزيد على عشرة آلاف ريال</w:t>
      </w:r>
      <w:r w:rsidRPr="00F93C29">
        <w:t>. </w:t>
      </w:r>
      <w:r w:rsidRPr="00F93C29">
        <w:br/>
      </w:r>
      <w:r w:rsidRPr="00F93C29">
        <w:rPr>
          <w:rtl/>
        </w:rPr>
        <w:t>ويتحمل المنفذ ضده التكاليف القضائية لطلب التنفيذ ما لم يثبت أن طالب التنفيذ غير مستحق لمطالبته، فيتحمل طالب التنفيذ كامل التكاليف القضائية، وإذا كان طالب التنفيذ غير مستحق لجزء من مطالبته، فيتحمل من التكاليف القضائية بقدر هذا الجزء</w:t>
      </w:r>
      <w:r w:rsidRPr="00F93C29">
        <w:t>.</w:t>
      </w:r>
    </w:p>
    <w:p w14:paraId="3BD02032" w14:textId="77777777" w:rsidR="00F93C29" w:rsidRPr="00F93C29" w:rsidRDefault="00F93C29" w:rsidP="00F93C29">
      <w:pPr>
        <w:bidi/>
        <w:rPr>
          <w:b/>
          <w:bCs/>
        </w:rPr>
      </w:pPr>
      <w:r w:rsidRPr="00F93C29">
        <w:rPr>
          <w:b/>
          <w:bCs/>
          <w:rtl/>
        </w:rPr>
        <w:lastRenderedPageBreak/>
        <w:t>المادة السادسة</w:t>
      </w:r>
    </w:p>
    <w:p w14:paraId="3A6FE8B8" w14:textId="77777777" w:rsidR="00F93C29" w:rsidRPr="00F93C29" w:rsidRDefault="00F93C29" w:rsidP="00F93C29">
      <w:pPr>
        <w:bidi/>
      </w:pPr>
      <w:r w:rsidRPr="00F93C29">
        <w:rPr>
          <w:b/>
          <w:bCs/>
          <w:rtl/>
        </w:rPr>
        <w:t>تُقدّر التكاليف القضائية للطلبات الواردة في المادة (السابعة) من النظام، على النحو الآتي</w:t>
      </w:r>
      <w:r w:rsidRPr="00F93C29">
        <w:rPr>
          <w:b/>
          <w:bCs/>
        </w:rPr>
        <w:t>:</w:t>
      </w:r>
    </w:p>
    <w:p w14:paraId="723FAA6A" w14:textId="77777777" w:rsidR="00F93C29" w:rsidRPr="00F93C29" w:rsidRDefault="00F93C29" w:rsidP="00F93C29">
      <w:pPr>
        <w:numPr>
          <w:ilvl w:val="0"/>
          <w:numId w:val="4"/>
        </w:numPr>
        <w:bidi/>
      </w:pPr>
      <w:r w:rsidRPr="00F93C29">
        <w:rPr>
          <w:rtl/>
        </w:rPr>
        <w:t>طلب التماس إعادة النظر؛ عشرة آلاف ريال</w:t>
      </w:r>
      <w:r w:rsidRPr="00F93C29">
        <w:t>.</w:t>
      </w:r>
    </w:p>
    <w:p w14:paraId="0F79A0F8" w14:textId="77777777" w:rsidR="00F93C29" w:rsidRPr="00F93C29" w:rsidRDefault="00F93C29" w:rsidP="00F93C29">
      <w:pPr>
        <w:numPr>
          <w:ilvl w:val="0"/>
          <w:numId w:val="4"/>
        </w:numPr>
        <w:bidi/>
      </w:pPr>
      <w:r w:rsidRPr="00F93C29">
        <w:rPr>
          <w:rtl/>
        </w:rPr>
        <w:t>طلب النقض؛ سبعة آلاف ريال</w:t>
      </w:r>
      <w:r w:rsidRPr="00F93C29">
        <w:t>.</w:t>
      </w:r>
    </w:p>
    <w:p w14:paraId="4820F254" w14:textId="77777777" w:rsidR="00F93C29" w:rsidRPr="00F93C29" w:rsidRDefault="00F93C29" w:rsidP="00F93C29">
      <w:pPr>
        <w:numPr>
          <w:ilvl w:val="0"/>
          <w:numId w:val="4"/>
        </w:numPr>
        <w:bidi/>
      </w:pPr>
      <w:r w:rsidRPr="00F93C29">
        <w:rPr>
          <w:rtl/>
        </w:rPr>
        <w:t>طلب الاستئناف؛ خمسة آلاف ريال</w:t>
      </w:r>
      <w:r w:rsidRPr="00F93C29">
        <w:t>.</w:t>
      </w:r>
    </w:p>
    <w:p w14:paraId="32FD6F1C" w14:textId="77777777" w:rsidR="00F93C29" w:rsidRPr="00F93C29" w:rsidRDefault="00F93C29" w:rsidP="00F93C29">
      <w:pPr>
        <w:numPr>
          <w:ilvl w:val="0"/>
          <w:numId w:val="4"/>
        </w:numPr>
        <w:bidi/>
      </w:pPr>
      <w:r w:rsidRPr="00F93C29">
        <w:rPr>
          <w:rtl/>
        </w:rPr>
        <w:t>طلب الإدخال من الخصوم، وطلب الرد، وطلب تصحيح الحكم أو تفسيره، وطلب وقف تنفيذ الحكم؛ ألفا ريال</w:t>
      </w:r>
      <w:r w:rsidRPr="00F93C29">
        <w:t>.</w:t>
      </w:r>
    </w:p>
    <w:p w14:paraId="3F9C62E8" w14:textId="77777777" w:rsidR="00F93C29" w:rsidRPr="00F93C29" w:rsidRDefault="00F93C29" w:rsidP="00F93C29">
      <w:pPr>
        <w:numPr>
          <w:ilvl w:val="0"/>
          <w:numId w:val="4"/>
        </w:numPr>
        <w:bidi/>
      </w:pPr>
      <w:r w:rsidRPr="00F93C29">
        <w:rPr>
          <w:rtl/>
        </w:rPr>
        <w:t>الطلب العارض؛ ألف ريال</w:t>
      </w:r>
      <w:r w:rsidRPr="00F93C29">
        <w:t>.</w:t>
      </w:r>
    </w:p>
    <w:p w14:paraId="6D8B4109" w14:textId="77777777" w:rsidR="00F93C29" w:rsidRPr="00F93C29" w:rsidRDefault="00F93C29" w:rsidP="00F93C29">
      <w:pPr>
        <w:numPr>
          <w:ilvl w:val="0"/>
          <w:numId w:val="4"/>
        </w:numPr>
        <w:bidi/>
      </w:pPr>
      <w:r w:rsidRPr="00F93C29">
        <w:rPr>
          <w:rtl/>
        </w:rPr>
        <w:t>طلب أحد الخصوم السير في الدعوى الموقوفة اتفاقاً قبل انتهاء المدة المتفق عليها لوقف الخصومة؛ مائة ريال</w:t>
      </w:r>
      <w:r w:rsidRPr="00F93C29">
        <w:t>.</w:t>
      </w:r>
    </w:p>
    <w:p w14:paraId="124ADF8C" w14:textId="77777777" w:rsidR="00F93C29" w:rsidRPr="00F93C29" w:rsidRDefault="00F93C29" w:rsidP="00F93C29">
      <w:pPr>
        <w:bidi/>
        <w:rPr>
          <w:b/>
          <w:bCs/>
        </w:rPr>
      </w:pPr>
      <w:r w:rsidRPr="00F93C29">
        <w:rPr>
          <w:b/>
          <w:bCs/>
          <w:rtl/>
        </w:rPr>
        <w:t>المادة السابعة</w:t>
      </w:r>
    </w:p>
    <w:p w14:paraId="5D6EB947" w14:textId="77777777" w:rsidR="00F93C29" w:rsidRPr="00F93C29" w:rsidRDefault="00F93C29" w:rsidP="00F93C29">
      <w:pPr>
        <w:bidi/>
      </w:pPr>
      <w:r w:rsidRPr="00F93C29">
        <w:rPr>
          <w:b/>
          <w:bCs/>
          <w:rtl/>
        </w:rPr>
        <w:t>تكون التكاليف القضائية لكل طلب من الطلبات الواردة في المادة (الثامنة) من النظام على النحو الآتي</w:t>
      </w:r>
      <w:r w:rsidRPr="00F93C29">
        <w:rPr>
          <w:b/>
          <w:bCs/>
        </w:rPr>
        <w:t>:</w:t>
      </w:r>
    </w:p>
    <w:p w14:paraId="7BC6B434" w14:textId="77777777" w:rsidR="00F93C29" w:rsidRPr="00F93C29" w:rsidRDefault="00F93C29" w:rsidP="00F93C29">
      <w:pPr>
        <w:numPr>
          <w:ilvl w:val="0"/>
          <w:numId w:val="5"/>
        </w:numPr>
        <w:bidi/>
      </w:pPr>
      <w:r w:rsidRPr="00F93C29">
        <w:rPr>
          <w:rtl/>
        </w:rPr>
        <w:t>طلب ذي المصلحة تسليمه نسخة مصدقة من أوراق الدعوى أو سجلاتها -الورقية أو الإلكترونية- أو الوثائق أو الأوراق التي تحت يد المحكمة؛ مائة ريال</w:t>
      </w:r>
      <w:r w:rsidRPr="00F93C29">
        <w:t>.</w:t>
      </w:r>
    </w:p>
    <w:p w14:paraId="10FC1FD0" w14:textId="77777777" w:rsidR="00F93C29" w:rsidRPr="00F93C29" w:rsidRDefault="00F93C29" w:rsidP="00F93C29">
      <w:pPr>
        <w:numPr>
          <w:ilvl w:val="0"/>
          <w:numId w:val="5"/>
        </w:numPr>
        <w:bidi/>
      </w:pPr>
      <w:r w:rsidRPr="00F93C29">
        <w:rPr>
          <w:rtl/>
        </w:rPr>
        <w:t>طلب ذي المصلحة الاطلاع على أوراق الدعوى أو سجلاتها -الورقية أو الإلكترونية-؛ خمسون ريالاً</w:t>
      </w:r>
      <w:r w:rsidRPr="00F93C29">
        <w:t>.</w:t>
      </w:r>
    </w:p>
    <w:p w14:paraId="335D17D9" w14:textId="77777777" w:rsidR="00F93C29" w:rsidRPr="00F93C29" w:rsidRDefault="00F93C29" w:rsidP="00F93C29">
      <w:pPr>
        <w:numPr>
          <w:ilvl w:val="0"/>
          <w:numId w:val="5"/>
        </w:numPr>
        <w:bidi/>
      </w:pPr>
      <w:r w:rsidRPr="00F93C29">
        <w:rPr>
          <w:rtl/>
        </w:rPr>
        <w:t>طلب نسخة بديلة للوثائق القضائية؛ مائة ريال</w:t>
      </w:r>
      <w:r w:rsidRPr="00F93C29">
        <w:t>.</w:t>
      </w:r>
    </w:p>
    <w:p w14:paraId="1568BCE5" w14:textId="77777777" w:rsidR="00F93C29" w:rsidRPr="00F93C29" w:rsidRDefault="00F93C29" w:rsidP="00F93C29">
      <w:pPr>
        <w:bidi/>
        <w:rPr>
          <w:b/>
          <w:bCs/>
        </w:rPr>
      </w:pPr>
      <w:r w:rsidRPr="00F93C29">
        <w:rPr>
          <w:b/>
          <w:bCs/>
          <w:rtl/>
        </w:rPr>
        <w:t>الفصل الثالث: التقدير النهائي للتكاليف القضائية، وتحصيلها</w:t>
      </w:r>
    </w:p>
    <w:p w14:paraId="6E236798" w14:textId="77777777" w:rsidR="00F93C29" w:rsidRPr="00F93C29" w:rsidRDefault="00F93C29" w:rsidP="00F93C29">
      <w:pPr>
        <w:bidi/>
        <w:rPr>
          <w:b/>
          <w:bCs/>
        </w:rPr>
      </w:pPr>
      <w:r w:rsidRPr="00F93C29">
        <w:rPr>
          <w:b/>
          <w:bCs/>
          <w:rtl/>
        </w:rPr>
        <w:t>المادة الثامنة</w:t>
      </w:r>
    </w:p>
    <w:p w14:paraId="5F4A1A38" w14:textId="77777777" w:rsidR="00F93C29" w:rsidRPr="00F93C29" w:rsidRDefault="00F93C29" w:rsidP="00F93C29">
      <w:pPr>
        <w:bidi/>
      </w:pPr>
      <w:r w:rsidRPr="00F93C29">
        <w:rPr>
          <w:rtl/>
        </w:rPr>
        <w:t>تصدر الإدارة المختصة -التي يحددها وزير العدل- التقدير النهائي لمبلغ التكاليف القضائية للدعوى بعد انتهائها، ويبلغ المكلف بأداء هذه التكاليف، ولا يُحصل مبلغ التكاليف من المكلف إلا بعد انتهاء مدة الاعتراض على التقدير أو صدور قرار في شأن اعتراضه</w:t>
      </w:r>
      <w:r w:rsidRPr="00F93C29">
        <w:t>.</w:t>
      </w:r>
    </w:p>
    <w:p w14:paraId="38DCB4AE" w14:textId="77777777" w:rsidR="00F93C29" w:rsidRPr="00F93C29" w:rsidRDefault="00F93C29" w:rsidP="00F93C29">
      <w:pPr>
        <w:bidi/>
        <w:rPr>
          <w:b/>
          <w:bCs/>
        </w:rPr>
      </w:pPr>
      <w:r w:rsidRPr="00F93C29">
        <w:rPr>
          <w:b/>
          <w:bCs/>
          <w:rtl/>
        </w:rPr>
        <w:t>المادة التاسعة</w:t>
      </w:r>
    </w:p>
    <w:p w14:paraId="060C44FE" w14:textId="77777777" w:rsidR="00F93C29" w:rsidRPr="00F93C29" w:rsidRDefault="00F93C29" w:rsidP="00F93C29">
      <w:pPr>
        <w:bidi/>
      </w:pPr>
      <w:r w:rsidRPr="00F93C29">
        <w:rPr>
          <w:rtl/>
        </w:rPr>
        <w:t>فيما عدا طلب النقض وطلب التماس إعادة النظر، تصدر الإدارة المختصة -التي يحددها وزير العدل- التقدير النهائي لمبلغ التكاليف القضائية للطلب بعد البت فيه، ويبلغ المكلف بأداء هذه التكاليف، ولا يُحصل مبلغ التكاليف من المكلف إلا بعد انتهاء مدة الاعتراض على التقدير أو صدور قرار في شأن اعتراضه</w:t>
      </w:r>
      <w:r w:rsidRPr="00F93C29">
        <w:t>.</w:t>
      </w:r>
    </w:p>
    <w:p w14:paraId="1FBF6638" w14:textId="77777777" w:rsidR="00F93C29" w:rsidRPr="00F93C29" w:rsidRDefault="00F93C29" w:rsidP="00F93C29">
      <w:pPr>
        <w:bidi/>
        <w:rPr>
          <w:b/>
          <w:bCs/>
        </w:rPr>
      </w:pPr>
      <w:r w:rsidRPr="00F93C29">
        <w:rPr>
          <w:b/>
          <w:bCs/>
          <w:rtl/>
        </w:rPr>
        <w:t>المادة العاشرة</w:t>
      </w:r>
    </w:p>
    <w:p w14:paraId="0CC130B0" w14:textId="77777777" w:rsidR="00F93C29" w:rsidRPr="00F93C29" w:rsidRDefault="00F93C29" w:rsidP="00F93C29">
      <w:pPr>
        <w:bidi/>
      </w:pPr>
      <w:r w:rsidRPr="00F93C29">
        <w:rPr>
          <w:rtl/>
        </w:rPr>
        <w:t>تحتسب التكاليف القضائية بالريال السعودي، ولا يحتسب الجزء من الريال في تقدير التكاليف</w:t>
      </w:r>
      <w:r w:rsidRPr="00F93C29">
        <w:t>.</w:t>
      </w:r>
    </w:p>
    <w:p w14:paraId="6A758835" w14:textId="77777777" w:rsidR="00F93C29" w:rsidRPr="00F93C29" w:rsidRDefault="00F93C29" w:rsidP="00F93C29">
      <w:pPr>
        <w:bidi/>
        <w:rPr>
          <w:b/>
          <w:bCs/>
        </w:rPr>
      </w:pPr>
      <w:r w:rsidRPr="00F93C29">
        <w:rPr>
          <w:b/>
          <w:bCs/>
          <w:rtl/>
        </w:rPr>
        <w:t>الفصل الرابع: أحكام ختامية</w:t>
      </w:r>
    </w:p>
    <w:p w14:paraId="39F742E7" w14:textId="77777777" w:rsidR="00F93C29" w:rsidRPr="00F93C29" w:rsidRDefault="00F93C29" w:rsidP="00F93C29">
      <w:pPr>
        <w:bidi/>
        <w:rPr>
          <w:b/>
          <w:bCs/>
        </w:rPr>
      </w:pPr>
      <w:r w:rsidRPr="00F93C29">
        <w:rPr>
          <w:b/>
          <w:bCs/>
          <w:rtl/>
        </w:rPr>
        <w:t>المادة الحادية عشرة</w:t>
      </w:r>
    </w:p>
    <w:p w14:paraId="5DCE761A" w14:textId="77777777" w:rsidR="00F93C29" w:rsidRPr="00F93C29" w:rsidRDefault="00F93C29" w:rsidP="00F93C29">
      <w:pPr>
        <w:bidi/>
      </w:pPr>
      <w:r w:rsidRPr="00F93C29">
        <w:rPr>
          <w:b/>
          <w:bCs/>
          <w:rtl/>
        </w:rPr>
        <w:t>يشترط للترخيص للقطاع الخاص للقيام بالأعمال المساندة لتطبيق أحكام النظام -إضافةً إلى استيفاء المتطلبات النظامية- الشروط الآتية</w:t>
      </w:r>
      <w:r w:rsidRPr="00F93C29">
        <w:rPr>
          <w:b/>
          <w:bCs/>
        </w:rPr>
        <w:t>:</w:t>
      </w:r>
    </w:p>
    <w:p w14:paraId="5495A9A6" w14:textId="77777777" w:rsidR="00F93C29" w:rsidRPr="00F93C29" w:rsidRDefault="00F93C29" w:rsidP="00F93C29">
      <w:pPr>
        <w:numPr>
          <w:ilvl w:val="0"/>
          <w:numId w:val="6"/>
        </w:numPr>
        <w:bidi/>
      </w:pPr>
      <w:r w:rsidRPr="00F93C29">
        <w:rPr>
          <w:rtl/>
        </w:rPr>
        <w:t>أن يكون المرخص له شركة مرخصاً لها في المملكة للقيام بالعمل محل الترخيص</w:t>
      </w:r>
      <w:r w:rsidRPr="00F93C29">
        <w:t>.</w:t>
      </w:r>
    </w:p>
    <w:p w14:paraId="0C9A15DB" w14:textId="77777777" w:rsidR="00F93C29" w:rsidRPr="00F93C29" w:rsidRDefault="00F93C29" w:rsidP="00F93C29">
      <w:pPr>
        <w:numPr>
          <w:ilvl w:val="0"/>
          <w:numId w:val="6"/>
        </w:numPr>
        <w:bidi/>
      </w:pPr>
      <w:r w:rsidRPr="00F93C29">
        <w:rPr>
          <w:rtl/>
        </w:rPr>
        <w:t>أن يكون للمرخص له خبرة في تقديم الخدمة محل الترخيص لا تقل عن ثلاث سنوات</w:t>
      </w:r>
      <w:r w:rsidRPr="00F93C29">
        <w:t>.</w:t>
      </w:r>
    </w:p>
    <w:p w14:paraId="0E453027" w14:textId="77777777" w:rsidR="00F93C29" w:rsidRPr="00F93C29" w:rsidRDefault="00F93C29" w:rsidP="00F93C29">
      <w:pPr>
        <w:numPr>
          <w:ilvl w:val="0"/>
          <w:numId w:val="6"/>
        </w:numPr>
        <w:bidi/>
      </w:pPr>
      <w:r w:rsidRPr="00F93C29">
        <w:rPr>
          <w:rtl/>
        </w:rPr>
        <w:lastRenderedPageBreak/>
        <w:t>أن يكون الترخيص محدداً بمدة</w:t>
      </w:r>
      <w:r w:rsidRPr="00F93C29">
        <w:t>.</w:t>
      </w:r>
    </w:p>
    <w:p w14:paraId="0F55077C" w14:textId="77777777" w:rsidR="00F93C29" w:rsidRPr="00F93C29" w:rsidRDefault="00F93C29" w:rsidP="00F93C29">
      <w:pPr>
        <w:numPr>
          <w:ilvl w:val="0"/>
          <w:numId w:val="6"/>
        </w:numPr>
        <w:bidi/>
      </w:pPr>
      <w:r w:rsidRPr="00F93C29">
        <w:rPr>
          <w:rtl/>
        </w:rPr>
        <w:t>أن تتوافر لدى المرخص له الخبرات الفنية والقدرات المالية اللازمة للقيام بتقديم الخدمة محل الترخيص بحسب ما تقرره وزارة العدل</w:t>
      </w:r>
      <w:r w:rsidRPr="00F93C29">
        <w:t>.</w:t>
      </w:r>
    </w:p>
    <w:p w14:paraId="4C0CE62E" w14:textId="77777777" w:rsidR="00F93C29" w:rsidRPr="00F93C29" w:rsidRDefault="00F93C29" w:rsidP="00F93C29">
      <w:pPr>
        <w:numPr>
          <w:ilvl w:val="0"/>
          <w:numId w:val="6"/>
        </w:numPr>
        <w:bidi/>
      </w:pPr>
      <w:r w:rsidRPr="00F93C29">
        <w:rPr>
          <w:rtl/>
        </w:rPr>
        <w:t>ألا يكون هناك تعارض مصالح لدى المرخص له وإن كان هذا التعارض محتملاً</w:t>
      </w:r>
      <w:r w:rsidRPr="00F93C29">
        <w:t>.</w:t>
      </w:r>
    </w:p>
    <w:p w14:paraId="25E74D27" w14:textId="77777777" w:rsidR="00F93C29" w:rsidRPr="00F93C29" w:rsidRDefault="00F93C29" w:rsidP="00F93C29">
      <w:pPr>
        <w:numPr>
          <w:ilvl w:val="0"/>
          <w:numId w:val="6"/>
        </w:numPr>
        <w:bidi/>
      </w:pPr>
      <w:r w:rsidRPr="00F93C29">
        <w:rPr>
          <w:rtl/>
        </w:rPr>
        <w:t>أن يلتزم المرخص له بالمحافظة على سرية أي معلومات تم الاطلاع عليها بسبب تقديم الخدمة محل الترخيص، وأن يمتد هذا الالتزام حتى بعد انتهاء الترخيص</w:t>
      </w:r>
      <w:r w:rsidRPr="00F93C29">
        <w:t>.</w:t>
      </w:r>
    </w:p>
    <w:p w14:paraId="35878DDC" w14:textId="77777777" w:rsidR="00F93C29" w:rsidRPr="00F93C29" w:rsidRDefault="00F93C29" w:rsidP="00F93C29">
      <w:pPr>
        <w:numPr>
          <w:ilvl w:val="0"/>
          <w:numId w:val="6"/>
        </w:numPr>
        <w:bidi/>
      </w:pPr>
      <w:r w:rsidRPr="00F93C29">
        <w:rPr>
          <w:rtl/>
        </w:rPr>
        <w:t>أن يلتزم المرخص له بالشروط الفنية الخاصة بحسب ما تقرره وزارة العدل</w:t>
      </w:r>
      <w:r w:rsidRPr="00F93C29">
        <w:t>.</w:t>
      </w:r>
      <w:r w:rsidRPr="00F93C29">
        <w:br/>
      </w:r>
      <w:r w:rsidRPr="00F93C29">
        <w:rPr>
          <w:b/>
          <w:bCs/>
          <w:rtl/>
        </w:rPr>
        <w:t>وتتولى وزارة العدل الإشراف على أعمال المرخص له</w:t>
      </w:r>
      <w:r w:rsidRPr="00F93C29">
        <w:rPr>
          <w:b/>
          <w:bCs/>
        </w:rPr>
        <w:t>.</w:t>
      </w:r>
    </w:p>
    <w:p w14:paraId="2C5A0FB5" w14:textId="77777777" w:rsidR="00F93C29" w:rsidRPr="00F93C29" w:rsidRDefault="00F93C29" w:rsidP="00F93C29">
      <w:pPr>
        <w:bidi/>
        <w:rPr>
          <w:b/>
          <w:bCs/>
        </w:rPr>
      </w:pPr>
      <w:r w:rsidRPr="00F93C29">
        <w:rPr>
          <w:b/>
          <w:bCs/>
          <w:rtl/>
        </w:rPr>
        <w:t>المادة الثانية عشرة</w:t>
      </w:r>
    </w:p>
    <w:p w14:paraId="161963FB" w14:textId="77777777" w:rsidR="00F93C29" w:rsidRPr="00F93C29" w:rsidRDefault="00F93C29" w:rsidP="00F93C29">
      <w:pPr>
        <w:bidi/>
      </w:pPr>
      <w:r w:rsidRPr="00F93C29">
        <w:rPr>
          <w:rtl/>
        </w:rPr>
        <w:t>يكون تحصيل التكاليف القضائية وفق الأحكام النظامية المقررة</w:t>
      </w:r>
      <w:r w:rsidRPr="00F93C29">
        <w:t>.</w:t>
      </w:r>
    </w:p>
    <w:p w14:paraId="671D43C3" w14:textId="77777777" w:rsidR="00F93C29" w:rsidRPr="00F93C29" w:rsidRDefault="00F93C29" w:rsidP="00F93C29">
      <w:pPr>
        <w:bidi/>
        <w:rPr>
          <w:b/>
          <w:bCs/>
        </w:rPr>
      </w:pPr>
      <w:r w:rsidRPr="00F93C29">
        <w:rPr>
          <w:b/>
          <w:bCs/>
          <w:rtl/>
        </w:rPr>
        <w:t>المادة الثالثة عشرة</w:t>
      </w:r>
    </w:p>
    <w:p w14:paraId="68BD76CA" w14:textId="77777777" w:rsidR="00F93C29" w:rsidRPr="00F93C29" w:rsidRDefault="00F93C29" w:rsidP="00F93C29">
      <w:pPr>
        <w:bidi/>
      </w:pPr>
      <w:r w:rsidRPr="00F93C29">
        <w:rPr>
          <w:rtl/>
        </w:rPr>
        <w:t>لغرض إدارة التحصيل والاعتراضات والإعفاءات والاستثناءات الواردة في النظام واللائحة؛ تفتح وزارة العدل حساباً جارياً تودع فيه المبالغ المتحصلة من التكاليف القضائية، ومن ثم تُودع تلك المبالغ في حساب جاري وزارة المالية لدى البنك المركزي السعودي</w:t>
      </w:r>
      <w:r w:rsidRPr="00F93C29">
        <w:t>.</w:t>
      </w:r>
    </w:p>
    <w:p w14:paraId="47831340" w14:textId="77777777" w:rsidR="00F93C29" w:rsidRPr="00F93C29" w:rsidRDefault="00F93C29" w:rsidP="00F93C29">
      <w:pPr>
        <w:bidi/>
        <w:rPr>
          <w:b/>
          <w:bCs/>
        </w:rPr>
      </w:pPr>
      <w:r w:rsidRPr="00F93C29">
        <w:rPr>
          <w:b/>
          <w:bCs/>
          <w:rtl/>
        </w:rPr>
        <w:t>المادة الرابعة عشرة</w:t>
      </w:r>
    </w:p>
    <w:p w14:paraId="0A865F5C" w14:textId="77777777" w:rsidR="00F93C29" w:rsidRPr="00F93C29" w:rsidRDefault="00F93C29" w:rsidP="00F93C29">
      <w:pPr>
        <w:bidi/>
      </w:pPr>
      <w:r w:rsidRPr="00F93C29">
        <w:rPr>
          <w:rtl/>
        </w:rPr>
        <w:t>يصدر وزير العدل بالتنسيق مع رئيس المجلس الأعلى للقضاء ما يلزم في شأن إجراءات الاعتراض على قرار الإدارة المختصة بتحديد مبلغ التكاليف القضائية</w:t>
      </w:r>
      <w:r w:rsidRPr="00F93C29">
        <w:t>.</w:t>
      </w:r>
    </w:p>
    <w:p w14:paraId="60050F7B" w14:textId="77777777" w:rsidR="00F93C29" w:rsidRPr="00F93C29" w:rsidRDefault="00F93C29" w:rsidP="00F93C29">
      <w:pPr>
        <w:bidi/>
        <w:rPr>
          <w:b/>
          <w:bCs/>
        </w:rPr>
      </w:pPr>
      <w:r w:rsidRPr="00F93C29">
        <w:rPr>
          <w:b/>
          <w:bCs/>
          <w:rtl/>
        </w:rPr>
        <w:t>المادة الخامسة عشرة</w:t>
      </w:r>
    </w:p>
    <w:p w14:paraId="3D2FD154" w14:textId="77777777" w:rsidR="00F93C29" w:rsidRPr="00F93C29" w:rsidRDefault="00F93C29" w:rsidP="00F93C29">
      <w:pPr>
        <w:bidi/>
      </w:pPr>
      <w:r w:rsidRPr="00F93C29">
        <w:rPr>
          <w:rtl/>
        </w:rPr>
        <w:t>يكون تنفيذ الإجراءات الواردة في النظام واللائحة في أي وقت باستعمال الوسائل الإلكترونية المعتمدة، وإذا تعذر تنفيذ أي من الإجراءات بالوسائل الإلكترونية المعتمدة، فيجوز تنفيذه بالطرق العادية</w:t>
      </w:r>
      <w:r w:rsidRPr="00F93C29">
        <w:t>.</w:t>
      </w:r>
    </w:p>
    <w:p w14:paraId="6E7E4FB7" w14:textId="77777777" w:rsidR="00F93C29" w:rsidRPr="00F93C29" w:rsidRDefault="00F93C29" w:rsidP="00F93C29">
      <w:pPr>
        <w:bidi/>
        <w:rPr>
          <w:b/>
          <w:bCs/>
        </w:rPr>
      </w:pPr>
      <w:r w:rsidRPr="00F93C29">
        <w:rPr>
          <w:b/>
          <w:bCs/>
          <w:rtl/>
        </w:rPr>
        <w:t>المادة السادسة عشرة</w:t>
      </w:r>
    </w:p>
    <w:p w14:paraId="7EC51544" w14:textId="77777777" w:rsidR="00F93C29" w:rsidRPr="00F93C29" w:rsidRDefault="00F93C29" w:rsidP="00F93C29">
      <w:pPr>
        <w:bidi/>
      </w:pPr>
      <w:r w:rsidRPr="00F93C29">
        <w:rPr>
          <w:rtl/>
        </w:rPr>
        <w:t>يصدر وزير العدل ما يلزم من قرارات لتنفيذ أحكام اللائحة</w:t>
      </w:r>
      <w:r w:rsidRPr="00F93C29">
        <w:t>.</w:t>
      </w:r>
    </w:p>
    <w:p w14:paraId="69CDC038" w14:textId="77777777" w:rsidR="00F93C29" w:rsidRPr="00F93C29" w:rsidRDefault="00F93C29" w:rsidP="00F93C29">
      <w:pPr>
        <w:bidi/>
        <w:rPr>
          <w:b/>
          <w:bCs/>
        </w:rPr>
      </w:pPr>
      <w:r w:rsidRPr="00F93C29">
        <w:rPr>
          <w:b/>
          <w:bCs/>
          <w:rtl/>
        </w:rPr>
        <w:t>المادة السابعة عشرة</w:t>
      </w:r>
    </w:p>
    <w:p w14:paraId="1554218D" w14:textId="77777777" w:rsidR="00F93C29" w:rsidRPr="00F93C29" w:rsidRDefault="00F93C29" w:rsidP="00F93C29">
      <w:pPr>
        <w:bidi/>
      </w:pPr>
      <w:r w:rsidRPr="00F93C29">
        <w:rPr>
          <w:rtl/>
        </w:rPr>
        <w:t>تنشر اللائحة في الجريدة الرسمية، ويعمل بها من تاريخ العمل بالنظام</w:t>
      </w:r>
      <w:r w:rsidRPr="00F93C29">
        <w:t>.</w:t>
      </w:r>
    </w:p>
    <w:p w14:paraId="5F3BA5DE" w14:textId="77777777" w:rsidR="000F30E0" w:rsidRPr="00F93C29" w:rsidRDefault="00F93C29" w:rsidP="00F93C29">
      <w:pPr>
        <w:bidi/>
        <w:rPr>
          <w:rFonts w:hint="cs"/>
          <w:rtl/>
        </w:rPr>
      </w:pPr>
    </w:p>
    <w:sectPr w:rsidR="000F30E0" w:rsidRPr="00F93C2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0B58" w14:textId="77777777" w:rsidR="00F93C29" w:rsidRDefault="00F93C29" w:rsidP="00F93C29">
      <w:pPr>
        <w:spacing w:after="0" w:line="240" w:lineRule="auto"/>
      </w:pPr>
      <w:r>
        <w:separator/>
      </w:r>
    </w:p>
  </w:endnote>
  <w:endnote w:type="continuationSeparator" w:id="0">
    <w:p w14:paraId="15A295CD" w14:textId="77777777" w:rsidR="00F93C29" w:rsidRDefault="00F93C29" w:rsidP="00F9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1F65" w14:textId="77777777" w:rsidR="00F93C29" w:rsidRDefault="00F93C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9080" w14:textId="77777777" w:rsidR="00F93C29" w:rsidRDefault="00F93C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4194" w14:textId="77777777" w:rsidR="00F93C29" w:rsidRDefault="00F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544C" w14:textId="77777777" w:rsidR="00F93C29" w:rsidRDefault="00F93C29" w:rsidP="00F93C29">
      <w:pPr>
        <w:spacing w:after="0" w:line="240" w:lineRule="auto"/>
      </w:pPr>
      <w:r>
        <w:separator/>
      </w:r>
    </w:p>
  </w:footnote>
  <w:footnote w:type="continuationSeparator" w:id="0">
    <w:p w14:paraId="7D3B2F0C" w14:textId="77777777" w:rsidR="00F93C29" w:rsidRDefault="00F93C29" w:rsidP="00F9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7339" w14:textId="7E239209" w:rsidR="00F93C29" w:rsidRDefault="00F93C29">
    <w:pPr>
      <w:pStyle w:val="a4"/>
    </w:pPr>
    <w:r>
      <w:rPr>
        <w:noProof/>
      </w:rPr>
      <w:pict w14:anchorId="66B9B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CDF0" w14:textId="49D07C87" w:rsidR="00F93C29" w:rsidRDefault="00F93C29">
    <w:pPr>
      <w:pStyle w:val="a4"/>
    </w:pPr>
    <w:r>
      <w:rPr>
        <w:noProof/>
      </w:rPr>
      <w:pict w14:anchorId="1AC31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4658" w14:textId="25BB3806" w:rsidR="00F93C29" w:rsidRDefault="00F93C29">
    <w:pPr>
      <w:pStyle w:val="a4"/>
    </w:pPr>
    <w:r>
      <w:rPr>
        <w:noProof/>
      </w:rPr>
      <w:pict w14:anchorId="7A303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B47"/>
    <w:multiLevelType w:val="multilevel"/>
    <w:tmpl w:val="B5C8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6F31"/>
    <w:multiLevelType w:val="multilevel"/>
    <w:tmpl w:val="1278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666B1"/>
    <w:multiLevelType w:val="multilevel"/>
    <w:tmpl w:val="CEEA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1729"/>
    <w:multiLevelType w:val="multilevel"/>
    <w:tmpl w:val="5C42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213765"/>
    <w:multiLevelType w:val="multilevel"/>
    <w:tmpl w:val="B3BA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B748CA"/>
    <w:multiLevelType w:val="multilevel"/>
    <w:tmpl w:val="42D4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40643">
    <w:abstractNumId w:val="5"/>
  </w:num>
  <w:num w:numId="2" w16cid:durableId="1236744820">
    <w:abstractNumId w:val="2"/>
  </w:num>
  <w:num w:numId="3" w16cid:durableId="831067858">
    <w:abstractNumId w:val="0"/>
  </w:num>
  <w:num w:numId="4" w16cid:durableId="472672791">
    <w:abstractNumId w:val="1"/>
  </w:num>
  <w:num w:numId="5" w16cid:durableId="937710357">
    <w:abstractNumId w:val="4"/>
  </w:num>
  <w:num w:numId="6" w16cid:durableId="527259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29"/>
    <w:rsid w:val="00472AD2"/>
    <w:rsid w:val="0049536E"/>
    <w:rsid w:val="00A443EE"/>
    <w:rsid w:val="00E37D2A"/>
    <w:rsid w:val="00F93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440EAE"/>
  <w15:chartTrackingRefBased/>
  <w15:docId w15:val="{88424D26-D45E-4B18-8371-A58F16F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93C29"/>
    <w:rPr>
      <w:color w:val="0563C1" w:themeColor="hyperlink"/>
      <w:u w:val="single"/>
    </w:rPr>
  </w:style>
  <w:style w:type="character" w:styleId="a3">
    <w:name w:val="Unresolved Mention"/>
    <w:basedOn w:val="a0"/>
    <w:uiPriority w:val="99"/>
    <w:semiHidden/>
    <w:unhideWhenUsed/>
    <w:rsid w:val="00F93C29"/>
    <w:rPr>
      <w:color w:val="605E5C"/>
      <w:shd w:val="clear" w:color="auto" w:fill="E1DFDD"/>
    </w:rPr>
  </w:style>
  <w:style w:type="paragraph" w:styleId="a4">
    <w:name w:val="header"/>
    <w:basedOn w:val="a"/>
    <w:link w:val="Char"/>
    <w:uiPriority w:val="99"/>
    <w:unhideWhenUsed/>
    <w:rsid w:val="00F93C29"/>
    <w:pPr>
      <w:tabs>
        <w:tab w:val="center" w:pos="4320"/>
        <w:tab w:val="right" w:pos="8640"/>
      </w:tabs>
      <w:spacing w:after="0" w:line="240" w:lineRule="auto"/>
    </w:pPr>
  </w:style>
  <w:style w:type="character" w:customStyle="1" w:styleId="Char">
    <w:name w:val="رأس الصفحة Char"/>
    <w:basedOn w:val="a0"/>
    <w:link w:val="a4"/>
    <w:uiPriority w:val="99"/>
    <w:rsid w:val="00F93C29"/>
  </w:style>
  <w:style w:type="paragraph" w:styleId="a5">
    <w:name w:val="footer"/>
    <w:basedOn w:val="a"/>
    <w:link w:val="Char0"/>
    <w:uiPriority w:val="99"/>
    <w:unhideWhenUsed/>
    <w:rsid w:val="00F93C29"/>
    <w:pPr>
      <w:tabs>
        <w:tab w:val="center" w:pos="4320"/>
        <w:tab w:val="right" w:pos="8640"/>
      </w:tabs>
      <w:spacing w:after="0" w:line="240" w:lineRule="auto"/>
    </w:pPr>
  </w:style>
  <w:style w:type="character" w:customStyle="1" w:styleId="Char0">
    <w:name w:val="تذييل الصفحة Char"/>
    <w:basedOn w:val="a0"/>
    <w:link w:val="a5"/>
    <w:uiPriority w:val="99"/>
    <w:rsid w:val="00F9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4644">
      <w:bodyDiv w:val="1"/>
      <w:marLeft w:val="0"/>
      <w:marRight w:val="0"/>
      <w:marTop w:val="0"/>
      <w:marBottom w:val="0"/>
      <w:divBdr>
        <w:top w:val="none" w:sz="0" w:space="0" w:color="auto"/>
        <w:left w:val="none" w:sz="0" w:space="0" w:color="auto"/>
        <w:bottom w:val="none" w:sz="0" w:space="0" w:color="auto"/>
        <w:right w:val="none" w:sz="0" w:space="0" w:color="auto"/>
      </w:divBdr>
      <w:divsChild>
        <w:div w:id="803280727">
          <w:marLeft w:val="0"/>
          <w:marRight w:val="0"/>
          <w:marTop w:val="0"/>
          <w:marBottom w:val="150"/>
          <w:divBdr>
            <w:top w:val="none" w:sz="0" w:space="0" w:color="auto"/>
            <w:left w:val="none" w:sz="0" w:space="0" w:color="auto"/>
            <w:bottom w:val="none" w:sz="0" w:space="0" w:color="auto"/>
            <w:right w:val="none" w:sz="0" w:space="0" w:color="auto"/>
          </w:divBdr>
        </w:div>
        <w:div w:id="348525434">
          <w:marLeft w:val="0"/>
          <w:marRight w:val="0"/>
          <w:marTop w:val="0"/>
          <w:marBottom w:val="0"/>
          <w:divBdr>
            <w:top w:val="none" w:sz="0" w:space="0" w:color="auto"/>
            <w:left w:val="none" w:sz="0" w:space="0" w:color="auto"/>
            <w:bottom w:val="none" w:sz="0" w:space="0" w:color="auto"/>
            <w:right w:val="none" w:sz="0" w:space="0" w:color="auto"/>
          </w:divBdr>
          <w:divsChild>
            <w:div w:id="2046909187">
              <w:marLeft w:val="0"/>
              <w:marRight w:val="0"/>
              <w:marTop w:val="0"/>
              <w:marBottom w:val="0"/>
              <w:divBdr>
                <w:top w:val="none" w:sz="0" w:space="0" w:color="auto"/>
                <w:left w:val="none" w:sz="0" w:space="0" w:color="auto"/>
                <w:bottom w:val="none" w:sz="0" w:space="0" w:color="auto"/>
                <w:right w:val="none" w:sz="0" w:space="0" w:color="auto"/>
              </w:divBdr>
            </w:div>
          </w:divsChild>
        </w:div>
        <w:div w:id="1292129883">
          <w:marLeft w:val="0"/>
          <w:marRight w:val="0"/>
          <w:marTop w:val="0"/>
          <w:marBottom w:val="0"/>
          <w:divBdr>
            <w:top w:val="none" w:sz="0" w:space="0" w:color="auto"/>
            <w:left w:val="none" w:sz="0" w:space="0" w:color="auto"/>
            <w:bottom w:val="none" w:sz="0" w:space="0" w:color="auto"/>
            <w:right w:val="none" w:sz="0" w:space="0" w:color="auto"/>
          </w:divBdr>
          <w:divsChild>
            <w:div w:id="1127120370">
              <w:marLeft w:val="0"/>
              <w:marRight w:val="0"/>
              <w:marTop w:val="225"/>
              <w:marBottom w:val="225"/>
              <w:divBdr>
                <w:top w:val="none" w:sz="0" w:space="0" w:color="auto"/>
                <w:left w:val="none" w:sz="0" w:space="0" w:color="auto"/>
                <w:bottom w:val="none" w:sz="0" w:space="0" w:color="auto"/>
                <w:right w:val="none" w:sz="0" w:space="0" w:color="auto"/>
              </w:divBdr>
            </w:div>
            <w:div w:id="1630353591">
              <w:marLeft w:val="0"/>
              <w:marRight w:val="0"/>
              <w:marTop w:val="225"/>
              <w:marBottom w:val="225"/>
              <w:divBdr>
                <w:top w:val="none" w:sz="0" w:space="0" w:color="auto"/>
                <w:left w:val="none" w:sz="0" w:space="0" w:color="auto"/>
                <w:bottom w:val="none" w:sz="0" w:space="0" w:color="auto"/>
                <w:right w:val="none" w:sz="0" w:space="0" w:color="auto"/>
              </w:divBdr>
            </w:div>
            <w:div w:id="1278025769">
              <w:marLeft w:val="0"/>
              <w:marRight w:val="0"/>
              <w:marTop w:val="225"/>
              <w:marBottom w:val="225"/>
              <w:divBdr>
                <w:top w:val="none" w:sz="0" w:space="0" w:color="auto"/>
                <w:left w:val="none" w:sz="0" w:space="0" w:color="auto"/>
                <w:bottom w:val="none" w:sz="0" w:space="0" w:color="auto"/>
                <w:right w:val="none" w:sz="0" w:space="0" w:color="auto"/>
              </w:divBdr>
            </w:div>
            <w:div w:id="1687364573">
              <w:marLeft w:val="0"/>
              <w:marRight w:val="0"/>
              <w:marTop w:val="225"/>
              <w:marBottom w:val="225"/>
              <w:divBdr>
                <w:top w:val="none" w:sz="0" w:space="0" w:color="auto"/>
                <w:left w:val="none" w:sz="0" w:space="0" w:color="auto"/>
                <w:bottom w:val="none" w:sz="0" w:space="0" w:color="auto"/>
                <w:right w:val="none" w:sz="0" w:space="0" w:color="auto"/>
              </w:divBdr>
            </w:div>
            <w:div w:id="43066996">
              <w:marLeft w:val="0"/>
              <w:marRight w:val="0"/>
              <w:marTop w:val="225"/>
              <w:marBottom w:val="225"/>
              <w:divBdr>
                <w:top w:val="none" w:sz="0" w:space="0" w:color="auto"/>
                <w:left w:val="none" w:sz="0" w:space="0" w:color="auto"/>
                <w:bottom w:val="none" w:sz="0" w:space="0" w:color="auto"/>
                <w:right w:val="none" w:sz="0" w:space="0" w:color="auto"/>
              </w:divBdr>
            </w:div>
          </w:divsChild>
        </w:div>
        <w:div w:id="1934244147">
          <w:marLeft w:val="0"/>
          <w:marRight w:val="0"/>
          <w:marTop w:val="15"/>
          <w:marBottom w:val="15"/>
          <w:divBdr>
            <w:top w:val="single" w:sz="6" w:space="10" w:color="CCCCCC"/>
            <w:left w:val="single" w:sz="6" w:space="10" w:color="CCCCCC"/>
            <w:bottom w:val="single" w:sz="6" w:space="10" w:color="CCCCCC"/>
            <w:right w:val="single" w:sz="6" w:space="10" w:color="CCCCCC"/>
          </w:divBdr>
          <w:divsChild>
            <w:div w:id="143857565">
              <w:marLeft w:val="0"/>
              <w:marRight w:val="0"/>
              <w:marTop w:val="0"/>
              <w:marBottom w:val="0"/>
              <w:divBdr>
                <w:top w:val="none" w:sz="0" w:space="0" w:color="auto"/>
                <w:left w:val="none" w:sz="0" w:space="0" w:color="auto"/>
                <w:bottom w:val="none" w:sz="0" w:space="0" w:color="auto"/>
                <w:right w:val="none" w:sz="0" w:space="0" w:color="auto"/>
              </w:divBdr>
            </w:div>
          </w:divsChild>
        </w:div>
        <w:div w:id="922033729">
          <w:marLeft w:val="0"/>
          <w:marRight w:val="0"/>
          <w:marTop w:val="0"/>
          <w:marBottom w:val="0"/>
          <w:divBdr>
            <w:top w:val="none" w:sz="0" w:space="0" w:color="auto"/>
            <w:left w:val="none" w:sz="0" w:space="0" w:color="auto"/>
            <w:bottom w:val="none" w:sz="0" w:space="0" w:color="auto"/>
            <w:right w:val="none" w:sz="0" w:space="0" w:color="auto"/>
          </w:divBdr>
          <w:divsChild>
            <w:div w:id="466707969">
              <w:marLeft w:val="0"/>
              <w:marRight w:val="0"/>
              <w:marTop w:val="300"/>
              <w:marBottom w:val="300"/>
              <w:divBdr>
                <w:top w:val="none" w:sz="0" w:space="0" w:color="auto"/>
                <w:left w:val="none" w:sz="0" w:space="0" w:color="auto"/>
                <w:bottom w:val="none" w:sz="0" w:space="0" w:color="auto"/>
                <w:right w:val="none" w:sz="0" w:space="0" w:color="auto"/>
              </w:divBdr>
              <w:divsChild>
                <w:div w:id="1725909491">
                  <w:marLeft w:val="0"/>
                  <w:marRight w:val="0"/>
                  <w:marTop w:val="0"/>
                  <w:marBottom w:val="0"/>
                  <w:divBdr>
                    <w:top w:val="none" w:sz="0" w:space="0" w:color="auto"/>
                    <w:left w:val="none" w:sz="0" w:space="0" w:color="auto"/>
                    <w:bottom w:val="none" w:sz="0" w:space="0" w:color="auto"/>
                    <w:right w:val="none" w:sz="0" w:space="0" w:color="auto"/>
                  </w:divBdr>
                </w:div>
              </w:divsChild>
            </w:div>
            <w:div w:id="709495732">
              <w:marLeft w:val="0"/>
              <w:marRight w:val="0"/>
              <w:marTop w:val="300"/>
              <w:marBottom w:val="300"/>
              <w:divBdr>
                <w:top w:val="none" w:sz="0" w:space="0" w:color="auto"/>
                <w:left w:val="none" w:sz="0" w:space="0" w:color="auto"/>
                <w:bottom w:val="none" w:sz="0" w:space="0" w:color="auto"/>
                <w:right w:val="none" w:sz="0" w:space="0" w:color="auto"/>
              </w:divBdr>
              <w:divsChild>
                <w:div w:id="776680162">
                  <w:marLeft w:val="0"/>
                  <w:marRight w:val="0"/>
                  <w:marTop w:val="0"/>
                  <w:marBottom w:val="0"/>
                  <w:divBdr>
                    <w:top w:val="none" w:sz="0" w:space="0" w:color="auto"/>
                    <w:left w:val="none" w:sz="0" w:space="0" w:color="auto"/>
                    <w:bottom w:val="none" w:sz="0" w:space="0" w:color="auto"/>
                    <w:right w:val="none" w:sz="0" w:space="0" w:color="auto"/>
                  </w:divBdr>
                </w:div>
              </w:divsChild>
            </w:div>
            <w:div w:id="1883246364">
              <w:marLeft w:val="0"/>
              <w:marRight w:val="0"/>
              <w:marTop w:val="300"/>
              <w:marBottom w:val="300"/>
              <w:divBdr>
                <w:top w:val="none" w:sz="0" w:space="0" w:color="auto"/>
                <w:left w:val="none" w:sz="0" w:space="0" w:color="auto"/>
                <w:bottom w:val="none" w:sz="0" w:space="0" w:color="auto"/>
                <w:right w:val="none" w:sz="0" w:space="0" w:color="auto"/>
              </w:divBdr>
              <w:divsChild>
                <w:div w:id="1581791452">
                  <w:marLeft w:val="0"/>
                  <w:marRight w:val="0"/>
                  <w:marTop w:val="0"/>
                  <w:marBottom w:val="0"/>
                  <w:divBdr>
                    <w:top w:val="none" w:sz="0" w:space="0" w:color="auto"/>
                    <w:left w:val="none" w:sz="0" w:space="0" w:color="auto"/>
                    <w:bottom w:val="none" w:sz="0" w:space="0" w:color="auto"/>
                    <w:right w:val="none" w:sz="0" w:space="0" w:color="auto"/>
                  </w:divBdr>
                </w:div>
              </w:divsChild>
            </w:div>
            <w:div w:id="600720545">
              <w:marLeft w:val="0"/>
              <w:marRight w:val="0"/>
              <w:marTop w:val="300"/>
              <w:marBottom w:val="300"/>
              <w:divBdr>
                <w:top w:val="none" w:sz="0" w:space="0" w:color="auto"/>
                <w:left w:val="none" w:sz="0" w:space="0" w:color="auto"/>
                <w:bottom w:val="none" w:sz="0" w:space="0" w:color="auto"/>
                <w:right w:val="none" w:sz="0" w:space="0" w:color="auto"/>
              </w:divBdr>
              <w:divsChild>
                <w:div w:id="1014500957">
                  <w:marLeft w:val="0"/>
                  <w:marRight w:val="0"/>
                  <w:marTop w:val="0"/>
                  <w:marBottom w:val="0"/>
                  <w:divBdr>
                    <w:top w:val="none" w:sz="0" w:space="0" w:color="auto"/>
                    <w:left w:val="none" w:sz="0" w:space="0" w:color="auto"/>
                    <w:bottom w:val="none" w:sz="0" w:space="0" w:color="auto"/>
                    <w:right w:val="none" w:sz="0" w:space="0" w:color="auto"/>
                  </w:divBdr>
                </w:div>
              </w:divsChild>
            </w:div>
            <w:div w:id="1796364421">
              <w:marLeft w:val="0"/>
              <w:marRight w:val="0"/>
              <w:marTop w:val="300"/>
              <w:marBottom w:val="300"/>
              <w:divBdr>
                <w:top w:val="none" w:sz="0" w:space="0" w:color="auto"/>
                <w:left w:val="none" w:sz="0" w:space="0" w:color="auto"/>
                <w:bottom w:val="none" w:sz="0" w:space="0" w:color="auto"/>
                <w:right w:val="none" w:sz="0" w:space="0" w:color="auto"/>
              </w:divBdr>
              <w:divsChild>
                <w:div w:id="25107697">
                  <w:marLeft w:val="0"/>
                  <w:marRight w:val="0"/>
                  <w:marTop w:val="0"/>
                  <w:marBottom w:val="0"/>
                  <w:divBdr>
                    <w:top w:val="none" w:sz="0" w:space="0" w:color="auto"/>
                    <w:left w:val="none" w:sz="0" w:space="0" w:color="auto"/>
                    <w:bottom w:val="none" w:sz="0" w:space="0" w:color="auto"/>
                    <w:right w:val="none" w:sz="0" w:space="0" w:color="auto"/>
                  </w:divBdr>
                </w:div>
              </w:divsChild>
            </w:div>
            <w:div w:id="1152717694">
              <w:marLeft w:val="0"/>
              <w:marRight w:val="0"/>
              <w:marTop w:val="300"/>
              <w:marBottom w:val="300"/>
              <w:divBdr>
                <w:top w:val="none" w:sz="0" w:space="0" w:color="auto"/>
                <w:left w:val="none" w:sz="0" w:space="0" w:color="auto"/>
                <w:bottom w:val="none" w:sz="0" w:space="0" w:color="auto"/>
                <w:right w:val="none" w:sz="0" w:space="0" w:color="auto"/>
              </w:divBdr>
              <w:divsChild>
                <w:div w:id="1711219389">
                  <w:marLeft w:val="0"/>
                  <w:marRight w:val="0"/>
                  <w:marTop w:val="0"/>
                  <w:marBottom w:val="0"/>
                  <w:divBdr>
                    <w:top w:val="none" w:sz="0" w:space="0" w:color="auto"/>
                    <w:left w:val="none" w:sz="0" w:space="0" w:color="auto"/>
                    <w:bottom w:val="none" w:sz="0" w:space="0" w:color="auto"/>
                    <w:right w:val="none" w:sz="0" w:space="0" w:color="auto"/>
                  </w:divBdr>
                </w:div>
              </w:divsChild>
            </w:div>
            <w:div w:id="1918786345">
              <w:marLeft w:val="0"/>
              <w:marRight w:val="0"/>
              <w:marTop w:val="300"/>
              <w:marBottom w:val="300"/>
              <w:divBdr>
                <w:top w:val="none" w:sz="0" w:space="0" w:color="auto"/>
                <w:left w:val="none" w:sz="0" w:space="0" w:color="auto"/>
                <w:bottom w:val="none" w:sz="0" w:space="0" w:color="auto"/>
                <w:right w:val="none" w:sz="0" w:space="0" w:color="auto"/>
              </w:divBdr>
              <w:divsChild>
                <w:div w:id="1345671327">
                  <w:marLeft w:val="0"/>
                  <w:marRight w:val="0"/>
                  <w:marTop w:val="0"/>
                  <w:marBottom w:val="0"/>
                  <w:divBdr>
                    <w:top w:val="none" w:sz="0" w:space="0" w:color="auto"/>
                    <w:left w:val="none" w:sz="0" w:space="0" w:color="auto"/>
                    <w:bottom w:val="none" w:sz="0" w:space="0" w:color="auto"/>
                    <w:right w:val="none" w:sz="0" w:space="0" w:color="auto"/>
                  </w:divBdr>
                </w:div>
              </w:divsChild>
            </w:div>
            <w:div w:id="416705786">
              <w:marLeft w:val="0"/>
              <w:marRight w:val="0"/>
              <w:marTop w:val="300"/>
              <w:marBottom w:val="300"/>
              <w:divBdr>
                <w:top w:val="none" w:sz="0" w:space="0" w:color="auto"/>
                <w:left w:val="none" w:sz="0" w:space="0" w:color="auto"/>
                <w:bottom w:val="none" w:sz="0" w:space="0" w:color="auto"/>
                <w:right w:val="none" w:sz="0" w:space="0" w:color="auto"/>
              </w:divBdr>
              <w:divsChild>
                <w:div w:id="1408921622">
                  <w:marLeft w:val="0"/>
                  <w:marRight w:val="0"/>
                  <w:marTop w:val="0"/>
                  <w:marBottom w:val="0"/>
                  <w:divBdr>
                    <w:top w:val="none" w:sz="0" w:space="0" w:color="auto"/>
                    <w:left w:val="none" w:sz="0" w:space="0" w:color="auto"/>
                    <w:bottom w:val="none" w:sz="0" w:space="0" w:color="auto"/>
                    <w:right w:val="none" w:sz="0" w:space="0" w:color="auto"/>
                  </w:divBdr>
                </w:div>
              </w:divsChild>
            </w:div>
            <w:div w:id="543907162">
              <w:marLeft w:val="0"/>
              <w:marRight w:val="0"/>
              <w:marTop w:val="300"/>
              <w:marBottom w:val="300"/>
              <w:divBdr>
                <w:top w:val="none" w:sz="0" w:space="0" w:color="auto"/>
                <w:left w:val="none" w:sz="0" w:space="0" w:color="auto"/>
                <w:bottom w:val="none" w:sz="0" w:space="0" w:color="auto"/>
                <w:right w:val="none" w:sz="0" w:space="0" w:color="auto"/>
              </w:divBdr>
              <w:divsChild>
                <w:div w:id="1797485977">
                  <w:marLeft w:val="0"/>
                  <w:marRight w:val="0"/>
                  <w:marTop w:val="0"/>
                  <w:marBottom w:val="0"/>
                  <w:divBdr>
                    <w:top w:val="none" w:sz="0" w:space="0" w:color="auto"/>
                    <w:left w:val="none" w:sz="0" w:space="0" w:color="auto"/>
                    <w:bottom w:val="none" w:sz="0" w:space="0" w:color="auto"/>
                    <w:right w:val="none" w:sz="0" w:space="0" w:color="auto"/>
                  </w:divBdr>
                </w:div>
              </w:divsChild>
            </w:div>
            <w:div w:id="345209009">
              <w:marLeft w:val="0"/>
              <w:marRight w:val="0"/>
              <w:marTop w:val="300"/>
              <w:marBottom w:val="300"/>
              <w:divBdr>
                <w:top w:val="none" w:sz="0" w:space="0" w:color="auto"/>
                <w:left w:val="none" w:sz="0" w:space="0" w:color="auto"/>
                <w:bottom w:val="none" w:sz="0" w:space="0" w:color="auto"/>
                <w:right w:val="none" w:sz="0" w:space="0" w:color="auto"/>
              </w:divBdr>
              <w:divsChild>
                <w:div w:id="1776511437">
                  <w:marLeft w:val="0"/>
                  <w:marRight w:val="0"/>
                  <w:marTop w:val="0"/>
                  <w:marBottom w:val="0"/>
                  <w:divBdr>
                    <w:top w:val="none" w:sz="0" w:space="0" w:color="auto"/>
                    <w:left w:val="none" w:sz="0" w:space="0" w:color="auto"/>
                    <w:bottom w:val="none" w:sz="0" w:space="0" w:color="auto"/>
                    <w:right w:val="none" w:sz="0" w:space="0" w:color="auto"/>
                  </w:divBdr>
                </w:div>
              </w:divsChild>
            </w:div>
            <w:div w:id="972176889">
              <w:marLeft w:val="0"/>
              <w:marRight w:val="0"/>
              <w:marTop w:val="300"/>
              <w:marBottom w:val="300"/>
              <w:divBdr>
                <w:top w:val="none" w:sz="0" w:space="0" w:color="auto"/>
                <w:left w:val="none" w:sz="0" w:space="0" w:color="auto"/>
                <w:bottom w:val="none" w:sz="0" w:space="0" w:color="auto"/>
                <w:right w:val="none" w:sz="0" w:space="0" w:color="auto"/>
              </w:divBdr>
              <w:divsChild>
                <w:div w:id="1868791144">
                  <w:marLeft w:val="0"/>
                  <w:marRight w:val="0"/>
                  <w:marTop w:val="0"/>
                  <w:marBottom w:val="0"/>
                  <w:divBdr>
                    <w:top w:val="none" w:sz="0" w:space="0" w:color="auto"/>
                    <w:left w:val="none" w:sz="0" w:space="0" w:color="auto"/>
                    <w:bottom w:val="none" w:sz="0" w:space="0" w:color="auto"/>
                    <w:right w:val="none" w:sz="0" w:space="0" w:color="auto"/>
                  </w:divBdr>
                </w:div>
              </w:divsChild>
            </w:div>
            <w:div w:id="788010899">
              <w:marLeft w:val="0"/>
              <w:marRight w:val="0"/>
              <w:marTop w:val="300"/>
              <w:marBottom w:val="300"/>
              <w:divBdr>
                <w:top w:val="none" w:sz="0" w:space="0" w:color="auto"/>
                <w:left w:val="none" w:sz="0" w:space="0" w:color="auto"/>
                <w:bottom w:val="none" w:sz="0" w:space="0" w:color="auto"/>
                <w:right w:val="none" w:sz="0" w:space="0" w:color="auto"/>
              </w:divBdr>
              <w:divsChild>
                <w:div w:id="386339272">
                  <w:marLeft w:val="0"/>
                  <w:marRight w:val="0"/>
                  <w:marTop w:val="0"/>
                  <w:marBottom w:val="0"/>
                  <w:divBdr>
                    <w:top w:val="none" w:sz="0" w:space="0" w:color="auto"/>
                    <w:left w:val="none" w:sz="0" w:space="0" w:color="auto"/>
                    <w:bottom w:val="none" w:sz="0" w:space="0" w:color="auto"/>
                    <w:right w:val="none" w:sz="0" w:space="0" w:color="auto"/>
                  </w:divBdr>
                </w:div>
              </w:divsChild>
            </w:div>
            <w:div w:id="35277950">
              <w:marLeft w:val="0"/>
              <w:marRight w:val="0"/>
              <w:marTop w:val="300"/>
              <w:marBottom w:val="300"/>
              <w:divBdr>
                <w:top w:val="none" w:sz="0" w:space="0" w:color="auto"/>
                <w:left w:val="none" w:sz="0" w:space="0" w:color="auto"/>
                <w:bottom w:val="none" w:sz="0" w:space="0" w:color="auto"/>
                <w:right w:val="none" w:sz="0" w:space="0" w:color="auto"/>
              </w:divBdr>
              <w:divsChild>
                <w:div w:id="1913925061">
                  <w:marLeft w:val="0"/>
                  <w:marRight w:val="0"/>
                  <w:marTop w:val="0"/>
                  <w:marBottom w:val="0"/>
                  <w:divBdr>
                    <w:top w:val="none" w:sz="0" w:space="0" w:color="auto"/>
                    <w:left w:val="none" w:sz="0" w:space="0" w:color="auto"/>
                    <w:bottom w:val="none" w:sz="0" w:space="0" w:color="auto"/>
                    <w:right w:val="none" w:sz="0" w:space="0" w:color="auto"/>
                  </w:divBdr>
                </w:div>
              </w:divsChild>
            </w:div>
            <w:div w:id="1401632013">
              <w:marLeft w:val="0"/>
              <w:marRight w:val="0"/>
              <w:marTop w:val="300"/>
              <w:marBottom w:val="300"/>
              <w:divBdr>
                <w:top w:val="none" w:sz="0" w:space="0" w:color="auto"/>
                <w:left w:val="none" w:sz="0" w:space="0" w:color="auto"/>
                <w:bottom w:val="none" w:sz="0" w:space="0" w:color="auto"/>
                <w:right w:val="none" w:sz="0" w:space="0" w:color="auto"/>
              </w:divBdr>
              <w:divsChild>
                <w:div w:id="378747516">
                  <w:marLeft w:val="0"/>
                  <w:marRight w:val="0"/>
                  <w:marTop w:val="0"/>
                  <w:marBottom w:val="0"/>
                  <w:divBdr>
                    <w:top w:val="none" w:sz="0" w:space="0" w:color="auto"/>
                    <w:left w:val="none" w:sz="0" w:space="0" w:color="auto"/>
                    <w:bottom w:val="none" w:sz="0" w:space="0" w:color="auto"/>
                    <w:right w:val="none" w:sz="0" w:space="0" w:color="auto"/>
                  </w:divBdr>
                </w:div>
              </w:divsChild>
            </w:div>
            <w:div w:id="180946196">
              <w:marLeft w:val="0"/>
              <w:marRight w:val="0"/>
              <w:marTop w:val="300"/>
              <w:marBottom w:val="300"/>
              <w:divBdr>
                <w:top w:val="none" w:sz="0" w:space="0" w:color="auto"/>
                <w:left w:val="none" w:sz="0" w:space="0" w:color="auto"/>
                <w:bottom w:val="none" w:sz="0" w:space="0" w:color="auto"/>
                <w:right w:val="none" w:sz="0" w:space="0" w:color="auto"/>
              </w:divBdr>
              <w:divsChild>
                <w:div w:id="1045134655">
                  <w:marLeft w:val="0"/>
                  <w:marRight w:val="0"/>
                  <w:marTop w:val="0"/>
                  <w:marBottom w:val="0"/>
                  <w:divBdr>
                    <w:top w:val="none" w:sz="0" w:space="0" w:color="auto"/>
                    <w:left w:val="none" w:sz="0" w:space="0" w:color="auto"/>
                    <w:bottom w:val="none" w:sz="0" w:space="0" w:color="auto"/>
                    <w:right w:val="none" w:sz="0" w:space="0" w:color="auto"/>
                  </w:divBdr>
                </w:div>
              </w:divsChild>
            </w:div>
            <w:div w:id="759915283">
              <w:marLeft w:val="0"/>
              <w:marRight w:val="0"/>
              <w:marTop w:val="300"/>
              <w:marBottom w:val="300"/>
              <w:divBdr>
                <w:top w:val="none" w:sz="0" w:space="0" w:color="auto"/>
                <w:left w:val="none" w:sz="0" w:space="0" w:color="auto"/>
                <w:bottom w:val="none" w:sz="0" w:space="0" w:color="auto"/>
                <w:right w:val="none" w:sz="0" w:space="0" w:color="auto"/>
              </w:divBdr>
              <w:divsChild>
                <w:div w:id="1415396050">
                  <w:marLeft w:val="0"/>
                  <w:marRight w:val="0"/>
                  <w:marTop w:val="0"/>
                  <w:marBottom w:val="0"/>
                  <w:divBdr>
                    <w:top w:val="none" w:sz="0" w:space="0" w:color="auto"/>
                    <w:left w:val="none" w:sz="0" w:space="0" w:color="auto"/>
                    <w:bottom w:val="none" w:sz="0" w:space="0" w:color="auto"/>
                    <w:right w:val="none" w:sz="0" w:space="0" w:color="auto"/>
                  </w:divBdr>
                </w:div>
              </w:divsChild>
            </w:div>
            <w:div w:id="1871795251">
              <w:marLeft w:val="0"/>
              <w:marRight w:val="0"/>
              <w:marTop w:val="300"/>
              <w:marBottom w:val="300"/>
              <w:divBdr>
                <w:top w:val="none" w:sz="0" w:space="0" w:color="auto"/>
                <w:left w:val="none" w:sz="0" w:space="0" w:color="auto"/>
                <w:bottom w:val="none" w:sz="0" w:space="0" w:color="auto"/>
                <w:right w:val="none" w:sz="0" w:space="0" w:color="auto"/>
              </w:divBdr>
              <w:divsChild>
                <w:div w:id="470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2023-03-29T14:09:00Z</dcterms:created>
  <dcterms:modified xsi:type="dcterms:W3CDTF">2023-03-29T14:11:00Z</dcterms:modified>
</cp:coreProperties>
</file>